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5DBFB" w14:textId="4F577802" w:rsidR="00DA7E97" w:rsidRDefault="00942688">
      <w:pPr>
        <w:pStyle w:val="CRCoverPage"/>
        <w:tabs>
          <w:tab w:val="right" w:pos="9639"/>
        </w:tabs>
        <w:spacing w:after="0"/>
        <w:jc w:val="both"/>
        <w:rPr>
          <w:b/>
          <w:sz w:val="24"/>
        </w:rPr>
      </w:pPr>
      <w:bookmarkStart w:id="0" w:name="_Toc193024528"/>
      <w:r>
        <w:rPr>
          <w:b/>
          <w:sz w:val="24"/>
        </w:rPr>
        <w:t>3GPP TSG-RAN WG2 Meeting 106</w:t>
      </w:r>
      <w:r>
        <w:rPr>
          <w:b/>
          <w:sz w:val="24"/>
        </w:rPr>
        <w:tab/>
      </w:r>
      <w:bookmarkStart w:id="1" w:name="OLE_LINK417"/>
      <w:bookmarkStart w:id="2" w:name="OLE_LINK418"/>
      <w:r w:rsidR="00D379F9" w:rsidRPr="00D379F9">
        <w:rPr>
          <w:b/>
          <w:sz w:val="24"/>
        </w:rPr>
        <w:t>R2-1907233</w:t>
      </w:r>
    </w:p>
    <w:bookmarkEnd w:id="1"/>
    <w:bookmarkEnd w:id="2"/>
    <w:p w14:paraId="53C5148F" w14:textId="77777777" w:rsidR="00DA7E97" w:rsidRDefault="00942688">
      <w:pPr>
        <w:pStyle w:val="CRCoverPage"/>
        <w:tabs>
          <w:tab w:val="right" w:pos="9639"/>
        </w:tabs>
        <w:spacing w:after="0"/>
        <w:jc w:val="both"/>
      </w:pPr>
      <w:r>
        <w:rPr>
          <w:b/>
          <w:sz w:val="24"/>
        </w:rPr>
        <w:t>Reno, USA, 13</w:t>
      </w:r>
      <w:r>
        <w:rPr>
          <w:b/>
          <w:sz w:val="24"/>
          <w:vertAlign w:val="superscript"/>
        </w:rPr>
        <w:t>th</w:t>
      </w:r>
      <w:r>
        <w:rPr>
          <w:b/>
          <w:sz w:val="24"/>
        </w:rPr>
        <w:t xml:space="preserve"> – 17</w:t>
      </w:r>
      <w:r>
        <w:rPr>
          <w:b/>
          <w:sz w:val="24"/>
          <w:vertAlign w:val="superscript"/>
        </w:rPr>
        <w:t>th</w:t>
      </w:r>
      <w:r>
        <w:rPr>
          <w:b/>
          <w:sz w:val="24"/>
        </w:rPr>
        <w:t xml:space="preserve">, May, 2019                       </w:t>
      </w:r>
    </w:p>
    <w:p w14:paraId="5552AE9A" w14:textId="60013564" w:rsidR="0042063F" w:rsidRDefault="00942688" w:rsidP="0042063F">
      <w:pPr>
        <w:pStyle w:val="Header"/>
        <w:tabs>
          <w:tab w:val="left" w:pos="6521"/>
        </w:tabs>
        <w:jc w:val="both"/>
        <w:rPr>
          <w:rFonts w:cs="Arial"/>
          <w:b w:val="0"/>
          <w:sz w:val="24"/>
        </w:rPr>
      </w:pPr>
      <w:r>
        <w:rPr>
          <w:rFonts w:cs="Arial"/>
          <w:noProof/>
          <w:lang w:eastAsia="zh-CN"/>
        </w:rPr>
        <mc:AlternateContent>
          <mc:Choice Requires="wps">
            <w:drawing>
              <wp:anchor distT="0" distB="0" distL="114300" distR="114300" simplePos="0" relativeHeight="251657728" behindDoc="0" locked="0" layoutInCell="1" allowOverlap="1" wp14:anchorId="57BB37A1" wp14:editId="4451F75A">
                <wp:simplePos x="0" y="0"/>
                <wp:positionH relativeFrom="column">
                  <wp:posOffset>0</wp:posOffset>
                </wp:positionH>
                <wp:positionV relativeFrom="paragraph">
                  <wp:posOffset>0</wp:posOffset>
                </wp:positionV>
                <wp:extent cx="630" cy="630"/>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wp:cNvGraphicFramePr/>
                <a:graphic xmlns:a="http://schemas.openxmlformats.org/drawingml/2006/main">
                  <a:graphicData uri="http://schemas.microsoft.com/office/word/2010/wordprocessingShape">
                    <wps:wsp>
                      <wps:cNvSpPr/>
                      <wps:spPr>
                        <a:xfrm>
                          <a:off x="0" y="0"/>
                          <a:ext cx="630" cy="630"/>
                        </a:xfrm>
                        <a:custGeom>
                          <a:avLst/>
                          <a:gdLst>
                            <a:gd name="f0" fmla="val 10800000"/>
                            <a:gd name="f1" fmla="val 5400000"/>
                            <a:gd name="f2" fmla="val 180"/>
                            <a:gd name="f3" fmla="val w"/>
                            <a:gd name="f4" fmla="val h"/>
                            <a:gd name="f5" fmla="val 0"/>
                            <a:gd name="f6" fmla="val 21600"/>
                            <a:gd name="f7" fmla="val 10860"/>
                            <a:gd name="f8" fmla="val 2187"/>
                            <a:gd name="f9" fmla="val 10451"/>
                            <a:gd name="f10" fmla="val 1746"/>
                            <a:gd name="f11" fmla="val 9529"/>
                            <a:gd name="f12" fmla="val 1018"/>
                            <a:gd name="f13" fmla="val 9015"/>
                            <a:gd name="f14" fmla="val 730"/>
                            <a:gd name="f15" fmla="val 7865"/>
                            <a:gd name="f16" fmla="val 152"/>
                            <a:gd name="f17" fmla="val 6685"/>
                            <a:gd name="f18" fmla="val 5415"/>
                            <a:gd name="f19" fmla="val 4175"/>
                            <a:gd name="f20" fmla="val 2995"/>
                            <a:gd name="f21" fmla="val 575"/>
                            <a:gd name="f22" fmla="val 1967"/>
                            <a:gd name="f23" fmla="val 1305"/>
                            <a:gd name="f24" fmla="val 1150"/>
                            <a:gd name="f25" fmla="val 3222"/>
                            <a:gd name="f26" fmla="val 242"/>
                            <a:gd name="f27" fmla="val 4220"/>
                            <a:gd name="f28" fmla="val 5410"/>
                            <a:gd name="f29" fmla="val 6560"/>
                            <a:gd name="f30" fmla="val 7597"/>
                            <a:gd name="f31" fmla="val 20995"/>
                            <a:gd name="f32" fmla="val 21480"/>
                            <a:gd name="f33" fmla="val 21115"/>
                            <a:gd name="f34" fmla="val 20420"/>
                            <a:gd name="f35" fmla="val 19632"/>
                            <a:gd name="f36" fmla="val 18575"/>
                            <a:gd name="f37" fmla="val 17425"/>
                            <a:gd name="f38" fmla="val 16275"/>
                            <a:gd name="f39" fmla="val 15005"/>
                            <a:gd name="f40" fmla="val 13735"/>
                            <a:gd name="f41" fmla="val 12705"/>
                            <a:gd name="f42" fmla="val 12176"/>
                            <a:gd name="f43" fmla="val 11254"/>
                            <a:gd name="f44" fmla="+- 0 0 -360"/>
                            <a:gd name="f45" fmla="+- 0 0 -270"/>
                            <a:gd name="f46" fmla="+- 0 0 -180"/>
                            <a:gd name="f47" fmla="+- 0 0 -90"/>
                            <a:gd name="f48" fmla="*/ f3 1 21600"/>
                            <a:gd name="f49" fmla="*/ f4 1 21600"/>
                            <a:gd name="f50" fmla="val f5"/>
                            <a:gd name="f51" fmla="val f6"/>
                            <a:gd name="f52" fmla="*/ f44 f0 1"/>
                            <a:gd name="f53" fmla="*/ f45 f0 1"/>
                            <a:gd name="f54" fmla="*/ f46 f0 1"/>
                            <a:gd name="f55" fmla="*/ f47 f0 1"/>
                            <a:gd name="f56" fmla="+- f51 0 f50"/>
                            <a:gd name="f57" fmla="*/ f52 1 f2"/>
                            <a:gd name="f58" fmla="*/ f53 1 f2"/>
                            <a:gd name="f59" fmla="*/ f54 1 f2"/>
                            <a:gd name="f60" fmla="*/ f55 1 f2"/>
                            <a:gd name="f61" fmla="*/ f56 1 21600"/>
                            <a:gd name="f62" fmla="*/ 10860 f56 1"/>
                            <a:gd name="f63" fmla="*/ 2187 f56 1"/>
                            <a:gd name="f64" fmla="*/ 2928 f56 1"/>
                            <a:gd name="f65" fmla="*/ 10800 f56 1"/>
                            <a:gd name="f66" fmla="*/ 21600 f56 1"/>
                            <a:gd name="f67" fmla="*/ 18672 f56 1"/>
                            <a:gd name="f68" fmla="*/ 5037 f56 1"/>
                            <a:gd name="f69" fmla="*/ 2277 f56 1"/>
                            <a:gd name="f70" fmla="*/ 16557 f56 1"/>
                            <a:gd name="f71" fmla="*/ 13677 f56 1"/>
                            <a:gd name="f72" fmla="+- f57 0 f1"/>
                            <a:gd name="f73" fmla="+- f58 0 f1"/>
                            <a:gd name="f74" fmla="+- f59 0 f1"/>
                            <a:gd name="f75" fmla="+- f60 0 f1"/>
                            <a:gd name="f76" fmla="*/ f62 1 21600"/>
                            <a:gd name="f77" fmla="*/ f63 1 21600"/>
                            <a:gd name="f78" fmla="*/ f64 1 21600"/>
                            <a:gd name="f79" fmla="*/ f65 1 21600"/>
                            <a:gd name="f80" fmla="*/ f66 1 21600"/>
                            <a:gd name="f81" fmla="*/ f67 1 21600"/>
                            <a:gd name="f82" fmla="*/ f68 1 21600"/>
                            <a:gd name="f83" fmla="*/ f69 1 21600"/>
                            <a:gd name="f84" fmla="*/ f70 1 21600"/>
                            <a:gd name="f85" fmla="*/ f71 1 21600"/>
                            <a:gd name="f86" fmla="*/ f76 1 f61"/>
                            <a:gd name="f87" fmla="*/ f77 1 f61"/>
                            <a:gd name="f88" fmla="*/ f78 1 f61"/>
                            <a:gd name="f89" fmla="*/ f79 1 f61"/>
                            <a:gd name="f90" fmla="*/ f80 1 f61"/>
                            <a:gd name="f91" fmla="*/ f81 1 f61"/>
                            <a:gd name="f92" fmla="*/ f82 1 f61"/>
                            <a:gd name="f93" fmla="*/ f84 1 f61"/>
                            <a:gd name="f94" fmla="*/ f83 1 f61"/>
                            <a:gd name="f95" fmla="*/ f85 1 f61"/>
                            <a:gd name="f96" fmla="*/ f92 f48 1"/>
                            <a:gd name="f97" fmla="*/ f93 f48 1"/>
                            <a:gd name="f98" fmla="*/ f95 f49 1"/>
                            <a:gd name="f99" fmla="*/ f94 f49 1"/>
                            <a:gd name="f100" fmla="*/ f86 f48 1"/>
                            <a:gd name="f101" fmla="*/ f87 f49 1"/>
                            <a:gd name="f102" fmla="*/ f88 f48 1"/>
                            <a:gd name="f103" fmla="*/ f89 f49 1"/>
                            <a:gd name="f104" fmla="*/ f90 f49 1"/>
                            <a:gd name="f105" fmla="*/ f91 f48 1"/>
                          </a:gdLst>
                          <a:ahLst/>
                          <a:cxnLst>
                            <a:cxn ang="3cd4">
                              <a:pos x="hc" y="t"/>
                            </a:cxn>
                            <a:cxn ang="0">
                              <a:pos x="r" y="vc"/>
                            </a:cxn>
                            <a:cxn ang="cd4">
                              <a:pos x="hc" y="b"/>
                            </a:cxn>
                            <a:cxn ang="cd2">
                              <a:pos x="l" y="vc"/>
                            </a:cxn>
                            <a:cxn ang="f72">
                              <a:pos x="f100" y="f101"/>
                            </a:cxn>
                            <a:cxn ang="f73">
                              <a:pos x="f102" y="f103"/>
                            </a:cxn>
                            <a:cxn ang="f74">
                              <a:pos x="f100" y="f104"/>
                            </a:cxn>
                            <a:cxn ang="f75">
                              <a:pos x="f105" y="f103"/>
                            </a:cxn>
                          </a:cxnLst>
                          <a:rect l="f96" t="f99" r="f97" b="f98"/>
                          <a:pathLst>
                            <a:path w="21600" h="21600">
                              <a:moveTo>
                                <a:pt x="f7" y="f8"/>
                              </a:moveTo>
                              <a:cubicBezTo>
                                <a:pt x="f9" y="f10"/>
                                <a:pt x="f11" y="f12"/>
                                <a:pt x="f13" y="f14"/>
                              </a:cubicBezTo>
                              <a:cubicBezTo>
                                <a:pt x="f15" y="f16"/>
                                <a:pt x="f17" y="f5"/>
                                <a:pt x="f18" y="f5"/>
                              </a:cubicBezTo>
                              <a:cubicBezTo>
                                <a:pt x="f19" y="f16"/>
                                <a:pt x="f20" y="f21"/>
                                <a:pt x="f22" y="f23"/>
                              </a:cubicBezTo>
                              <a:cubicBezTo>
                                <a:pt x="f24" y="f8"/>
                                <a:pt x="f21" y="f25"/>
                                <a:pt x="f26" y="f27"/>
                              </a:cubicBezTo>
                              <a:cubicBezTo>
                                <a:pt x="f5" y="f28"/>
                                <a:pt x="f26" y="f29"/>
                                <a:pt x="f21" y="f30"/>
                              </a:cubicBezTo>
                              <a:lnTo>
                                <a:pt x="f7" y="f6"/>
                              </a:lnTo>
                              <a:lnTo>
                                <a:pt x="f31" y="f30"/>
                              </a:lnTo>
                              <a:cubicBezTo>
                                <a:pt x="f32" y="f29"/>
                                <a:pt x="f6" y="f28"/>
                                <a:pt x="f32" y="f27"/>
                              </a:cubicBezTo>
                              <a:cubicBezTo>
                                <a:pt x="f33" y="f25"/>
                                <a:pt x="f34" y="f8"/>
                                <a:pt x="f35" y="f23"/>
                              </a:cubicBezTo>
                              <a:cubicBezTo>
                                <a:pt x="f36" y="f21"/>
                                <a:pt x="f37" y="f16"/>
                                <a:pt x="f38" y="f5"/>
                              </a:cubicBezTo>
                              <a:cubicBezTo>
                                <a:pt x="f39" y="f5"/>
                                <a:pt x="f40" y="f16"/>
                                <a:pt x="f41" y="f14"/>
                              </a:cubicBezTo>
                              <a:cubicBezTo>
                                <a:pt x="f42" y="f12"/>
                                <a:pt x="f43" y="f10"/>
                                <a:pt x="f7" y="f8"/>
                              </a:cubicBezTo>
                              <a:close/>
                            </a:path>
                          </a:pathLst>
                        </a:custGeom>
                        <a:solidFill>
                          <a:srgbClr val="FFFFFF"/>
                        </a:solidFill>
                        <a:ln w="9528" cap="flat">
                          <a:solidFill>
                            <a:srgbClr val="000000"/>
                          </a:solidFill>
                          <a:prstDash val="solid"/>
                          <a:miter/>
                        </a:ln>
                      </wps:spPr>
                      <wps:bodyPr lIns="0" tIns="0" rIns="0" bIns="0"/>
                    </wps:wsp>
                  </a:graphicData>
                </a:graphic>
              </wp:anchor>
            </w:drawing>
          </mc:Choice>
          <mc:Fallback>
            <w:pict>
              <v:shape w14:anchorId="6FBC088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9L/sgcAAKgiAAAOAAAAZHJzL2Uyb0RvYy54bWzsWktz2zYQvnem/4HRIYc2iQiQAEgnThTb&#10;SZqZNH0k6bSHdkpThKUpJaok/eqv7y74EFYAm6TTQw9WJjIFfPwW+HaxxJJ88uxmUwZXRd2sq+3x&#10;jD0KZ0GxzavlentxPPvw/uXDZBY0bbZdZmW1LY5nt0Uze/b0yy+eXO+OCl6tqnJZ1AGQbJuj693x&#10;bNW2u6P5vMlXxSZrHlW7Yguduqo3WQs/64v5ss6ugX1TznkYyvl1VS93dZUXTQOtZ13n7Knh17rI&#10;2++0boo2KI9nMLbWfNfm+xy/50+fZEcXdbZbrfN+GNm/GMUmW2/B6Eh1lrVZcFmvHarNOq+rptLt&#10;o7zazCut13lh5gCzYeHBbN6tsl1h5gLiNLtRpua/o83fXn1fB+sl+G4WbLMNuOisbYzht/BrFiyL&#10;Jge91IKHkTiR4alciBdysThZKBGxSIpTJZlchEn08vmrRNwv28dH+ZtYCi7umc/J62++W/xaWi3Y&#10;zBg7Y8AnU8ZO3kUPWHILn3sn2+qyWeXt5WpbPfiwLP/c/H65/E2pebE97+h83wlPpEr481cffvzp&#10;7MG3ix8+vP2BhZ3hPyRnUYRnwZCjKIkYC+OTOF7A/1P72Ef8sTYwfHr/on0Mtk/kzzFTSnandLZv&#10;xpaFehWymIM9ES2SRRyyF/bxx+z4+hOOWqdZ9zf59peYCa4WBtqZvzUt2IDmw0iBSf6CR2pxehrb&#10;xz76u7Y7Be4UuFPgToE7Be4U+P8rwO4x3Mxe75oj2NO9231f978aOMSd6Y2uN/gX9pzBjdkA344b&#10;4OKmDXJolBHskXNoxwM4f74/Lb9s2ldFZSiyqzdN2+2cl3Bk9r3LfveogUFvSthEX2VlwMIkxE+/&#10;zx5BsNncg0TsxXAbwxKHI7L7rw8txHbv6rBX2L0Os7R7OZPu+JWNgElKhwPqnv0MOUvU4RBSGwB7&#10;UmH8BxXEXiQqpYrlIQcjOqaCpw6CqhiyxEEQHdOQCQdBtFRdaJCBEjlVIl0KIilsVB0bRFEpE5eC&#10;KCpgb+twEElh7+0gOFGUp6mLIIoKDwUVNJWOYzkRlEWha4QIyphwoocTRSPOHcE4UZTHLoAoGnOY&#10;e79kh5XKDxV1EURRKdwwx4Sxj3MlUkeOiCjKQ4/oEdGUs9iz2ImoUEi57o+IqjyM3RlHRFaWSrB8&#10;IEpEdGWJJwQioixTMXjrkIVIyyR3Ayki2kIMuHESE3FZpGD8B4Zioi7jysNC1GWcKSePxERdxriI&#10;HUOjul8/DEL49zByoyEe9R1AMCCHaVR4AHmSezxqPIBSl2gU+at5oKOABd5cHY9CIyyegsEitCJZ&#10;O0pDfrb7HQ0hp/X9xkwc6DBwUroYhTYg4QeNUhuQ9INGqQ1I+UG21FowcJt2k40YtUYqwUEh7awL&#10;QcQWqLYHRKQWqLULgrCxhBLCDxrVNmOSAPI6V9qqmwsxzADQh0EnbeHxcjwBs6XnKU8mYLb4Zo8z&#10;gRv1h1mY8U/gbA8wuJnFJ3C2EwTc0ZmA2W7gXE3AYGnuHcGkEFM42xdwy2+Sb/QFrFkNbBBtjiPU&#10;6AgDSvyg0Q0GlPpBoxMQJDEneczZHtASY9sbR8r2gJaTyUTZHtByMpso2wVaYpB77cKVbu8DLSfj&#10;PLF9oKWa5Bt9gOtGJpO40Q0Gl07iRk8gTkFKm5jH6AyDY5M44g+F89XSCRLYLVuqQLz5UcQXCufq&#10;4yKeUDhTDwquLpbFBOfpQxEvJDhLH4r4IDH51J1jSjyQmFzpQRH9E5N2PSiifmJSqgdFtE85XAxB&#10;s8NMCTs4S4k0mkAR7VO4kMWgrMNFtE/hmuhDMaivLJMJXPB8A2MhVR+ylZ+Nyg8p3M9G9U+n2IgD&#10;UsgxfqPEAynExWAUauiLoUrOVkPhnN9s+8oZjoIMn5ZF+TI2z5B2VYMV+iqfBVCKtygqkAAOC+0R&#10;HtrY2kCv8gmsn/l8Es1t7vKfubUiaG28CeOGAxMPnqFruAjgXPqJAhJc1p0STYxJK6KNbcVsVb1W&#10;xIEV8JHHSndq740anhjis0KdwmKBp4U6hRCG518alwU8MdRpX0DvshadaaYBh8H18axL8MFqOMK+&#10;TXVVvK8MqkWnaqDBMRgWsLzvzy/P1/lJ8RdBg/FuxCgLCNZxYNlvmvtd2tAMEW2aR0UIpdcAlFHd&#10;Of1+dqDqh9nvgodWWPRowLSibJ/AP8yA8mMhjky8Txm9AShzu+YxDD5ugcMCRarBL51EQNwx0Rlg&#10;1WzsmjL106bQKwTVsu2Dkam/5TLMoLc73j+jGpVb4t5eZaMNDGboHf72nFhB46BHzqGfcg/oQUM6&#10;sGHidBZYeX+uHlEfZkPVO9j1+gErbmPgMzyKJbg5hwYHlt3YzGgoRZ8flFh6IxONDay2PfxYYZvm&#10;z1hVcDemO4cuUCyzDVVfyvbKHaQE6tW8rJqiuwJgyjGXgjH3mADe35dtqnK9fLkuS8wVTX1xflrW&#10;AdyGPZ69NJ8+txJYucXUBbcOQcY8gzcwdJm1Jm8SGGEzt2vNHGAABLarm/Ysa1adVdPVrZrNui3q&#10;bholXMfmeJ+6uzONR+fV8hZeQyhfb+HVBnBDOxzUw8F5f4AUeAa8DmGk6F/dwPct7N8GtX/B5Onf&#10;AAAA//8DAFBLAwQUAAYACAAAACEAA65DwNUAAAD/AAAADwAAAGRycy9kb3ducmV2LnhtbEyPT0vD&#10;QBDF74LfYRnBS7Ebi4rGbEoRci0Y/+Bxkp0mwd3ZkJ228du77UUvD4b3eO83xXr2Th1oikNgA7fL&#10;DBRxG+zAnYH3t+rmEVQUZIsuMBn4oQjr8vKiwNyGI7/SoZZOpRKOORroRcZc69j25DEuw0icvF2Y&#10;PEo6p07bCY+p3Du9yrIH7XHgtNDjSC89td/13hvYfqykutd322pXN4vF52Z4+nK1MddX8+YZlNAs&#10;f2E44Sd0KBNTE/Zso3IG0iNy1rOnmlNCl4X+z13+AgAA//8DAFBLAQItABQABgAIAAAAIQC2gziS&#10;/gAAAOEBAAATAAAAAAAAAAAAAAAAAAAAAABbQ29udGVudF9UeXBlc10ueG1sUEsBAi0AFAAGAAgA&#10;AAAhADj9If/WAAAAlAEAAAsAAAAAAAAAAAAAAAAALwEAAF9yZWxzLy5yZWxzUEsBAi0AFAAGAAgA&#10;AAAhAPDr0v+yBwAAqCIAAA4AAAAAAAAAAAAAAAAALgIAAGRycy9lMm9Eb2MueG1sUEsBAi0AFAAG&#10;AAgAAAAhAAOuQ8DVAAAA/wAAAA8AAAAAAAAAAAAAAAAADAoAAGRycy9kb3ducmV2LnhtbFBLBQYA&#10;AAAABAAEAPMAAAAOCwAAAAA=&#10;" path="m10860,2187c10451,1746,9529,1018,9015,730,7865,152,6685,,5415,,4175,152,2995,575,1967,1305,1150,2187,575,3222,242,4220,,5410,242,6560,575,7597l10860,21600,20995,7597v485,-1037,605,-2187,485,-3377c21115,3222,20420,2187,19632,1305,18575,575,17425,152,16275,,15005,,13735,152,12705,730v-529,288,-1451,1016,-1845,1457xe" strokeweight=".26467mm">
                <v:stroke joinstyle="miter"/>
                <v:path arrowok="t" o:connecttype="custom" o:connectlocs="315,0;630,315;315,630;0,315;317,64;85,315;317,630;545,315" o:connectangles="270,0,90,180,270,180,90,0" textboxrect="5040,2263,16560,13680"/>
              </v:shape>
            </w:pict>
          </mc:Fallback>
        </mc:AlternateContent>
      </w:r>
    </w:p>
    <w:p w14:paraId="3ECEF460" w14:textId="77777777" w:rsidR="00DA7E97" w:rsidRDefault="00942688" w:rsidP="0042063F">
      <w:pPr>
        <w:tabs>
          <w:tab w:val="left" w:pos="1985"/>
        </w:tabs>
        <w:spacing w:after="120"/>
        <w:jc w:val="both"/>
      </w:pPr>
      <w:r>
        <w:rPr>
          <w:rFonts w:ascii="Arial" w:hAnsi="Arial" w:cs="Arial"/>
          <w:b/>
          <w:sz w:val="24"/>
        </w:rPr>
        <w:t>Agenda item:</w:t>
      </w:r>
      <w:r>
        <w:rPr>
          <w:rFonts w:ascii="Arial" w:hAnsi="Arial" w:cs="Arial"/>
          <w:b/>
          <w:sz w:val="24"/>
        </w:rPr>
        <w:tab/>
      </w:r>
      <w:r>
        <w:rPr>
          <w:rFonts w:ascii="Arial" w:hAnsi="Arial" w:cs="Arial"/>
          <w:sz w:val="24"/>
        </w:rPr>
        <w:t>11.7.2.2</w:t>
      </w:r>
    </w:p>
    <w:p w14:paraId="2481D10E" w14:textId="77777777" w:rsidR="00DA7E97" w:rsidRDefault="00942688" w:rsidP="0042063F">
      <w:pPr>
        <w:tabs>
          <w:tab w:val="left" w:pos="1985"/>
        </w:tabs>
        <w:spacing w:after="120"/>
        <w:jc w:val="both"/>
      </w:pPr>
      <w:r>
        <w:rPr>
          <w:rFonts w:ascii="Arial" w:hAnsi="Arial" w:cs="Arial"/>
          <w:b/>
          <w:sz w:val="24"/>
        </w:rPr>
        <w:t xml:space="preserve">Source: </w:t>
      </w:r>
      <w:r>
        <w:rPr>
          <w:rFonts w:ascii="Arial" w:hAnsi="Arial" w:cs="Arial"/>
          <w:b/>
          <w:sz w:val="24"/>
        </w:rPr>
        <w:tab/>
      </w:r>
      <w:r>
        <w:rPr>
          <w:rFonts w:ascii="Arial" w:hAnsi="Arial" w:cs="Arial"/>
          <w:sz w:val="24"/>
        </w:rPr>
        <w:t>Huawei, HiSilicon</w:t>
      </w:r>
    </w:p>
    <w:p w14:paraId="233DD92F" w14:textId="6A1BD052" w:rsidR="00DA7E97" w:rsidRDefault="00942688" w:rsidP="0042063F">
      <w:pPr>
        <w:tabs>
          <w:tab w:val="left" w:pos="1985"/>
        </w:tabs>
        <w:spacing w:after="120"/>
        <w:jc w:val="both"/>
      </w:pPr>
      <w:r>
        <w:rPr>
          <w:rFonts w:ascii="Arial" w:hAnsi="Arial" w:cs="Arial"/>
          <w:b/>
          <w:sz w:val="24"/>
        </w:rPr>
        <w:t xml:space="preserve">Title: </w:t>
      </w:r>
      <w:r>
        <w:rPr>
          <w:rFonts w:ascii="Arial" w:hAnsi="Arial" w:cs="Arial"/>
          <w:b/>
          <w:sz w:val="24"/>
        </w:rPr>
        <w:tab/>
      </w:r>
      <w:r>
        <w:rPr>
          <w:rFonts w:ascii="Arial" w:hAnsi="Arial" w:cs="Arial"/>
          <w:sz w:val="24"/>
          <w:lang w:eastAsia="zh-CN"/>
        </w:rPr>
        <w:t>Solutions to mitiga</w:t>
      </w:r>
      <w:r w:rsidR="0042063F">
        <w:rPr>
          <w:rFonts w:ascii="Arial" w:hAnsi="Arial" w:cs="Arial"/>
          <w:sz w:val="24"/>
          <w:lang w:eastAsia="zh-CN"/>
        </w:rPr>
        <w:t xml:space="preserve">te the periodicity misalignment </w:t>
      </w:r>
      <w:r>
        <w:rPr>
          <w:rFonts w:ascii="Arial" w:hAnsi="Arial" w:cs="Arial"/>
          <w:sz w:val="24"/>
          <w:lang w:eastAsia="zh-CN"/>
        </w:rPr>
        <w:t xml:space="preserve">between TSC traffic </w:t>
      </w:r>
      <w:r>
        <w:rPr>
          <w:rFonts w:ascii="Arial" w:hAnsi="Arial" w:cs="Arial"/>
          <w:sz w:val="24"/>
          <w:lang w:eastAsia="zh-CN"/>
        </w:rPr>
        <w:tab/>
        <w:t>and CG/SPS</w:t>
      </w:r>
    </w:p>
    <w:p w14:paraId="16C1A469" w14:textId="77777777" w:rsidR="00DA7E97" w:rsidRDefault="00942688" w:rsidP="0042063F">
      <w:pPr>
        <w:tabs>
          <w:tab w:val="left" w:pos="1985"/>
        </w:tabs>
        <w:spacing w:after="120"/>
        <w:jc w:val="both"/>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1DCD1CCC" w14:textId="77777777" w:rsidR="00DA7E97" w:rsidRDefault="00942688">
      <w:pPr>
        <w:pStyle w:val="Heading1"/>
        <w:rPr>
          <w:lang w:eastAsia="zh-CN"/>
        </w:rPr>
      </w:pPr>
      <w:r>
        <w:rPr>
          <w:lang w:eastAsia="zh-CN"/>
        </w:rPr>
        <w:t>Introduction</w:t>
      </w:r>
    </w:p>
    <w:p w14:paraId="60D690FA" w14:textId="77777777" w:rsidR="00DA7E97" w:rsidRDefault="00942688">
      <w:pPr>
        <w:jc w:val="both"/>
      </w:pPr>
      <w:r>
        <w:rPr>
          <w:color w:val="000000"/>
          <w:lang w:eastAsia="zh-CN"/>
        </w:rPr>
        <w:t>In the WID for NR IIoT [1], one objective for supporting TSC traffic is to “</w:t>
      </w:r>
      <w:r>
        <w:rPr>
          <w:i/>
          <w:color w:val="000000"/>
          <w:lang w:eastAsia="zh-CN"/>
        </w:rPr>
        <w:t>address support TSC message periodicities with non-integer multiple of NR supported CG/SPS periodicities</w:t>
      </w:r>
      <w:r>
        <w:rPr>
          <w:color w:val="000000"/>
          <w:lang w:eastAsia="zh-CN"/>
        </w:rPr>
        <w:t xml:space="preserve">”. In the last RAN2 #105bis meeting [2], the following agreements related to SPS enhancements have been achieved: </w:t>
      </w:r>
    </w:p>
    <w:tbl>
      <w:tblPr>
        <w:tblW w:w="9855" w:type="dxa"/>
        <w:tblCellMar>
          <w:left w:w="10" w:type="dxa"/>
          <w:right w:w="10" w:type="dxa"/>
        </w:tblCellMar>
        <w:tblLook w:val="0000" w:firstRow="0" w:lastRow="0" w:firstColumn="0" w:lastColumn="0" w:noHBand="0" w:noVBand="0"/>
      </w:tblPr>
      <w:tblGrid>
        <w:gridCol w:w="9855"/>
      </w:tblGrid>
      <w:tr w:rsidR="00DA7E97" w14:paraId="4FA3E87D" w14:textId="77777777">
        <w:tc>
          <w:tcPr>
            <w:tcW w:w="9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4C2FB" w14:textId="77777777" w:rsidR="00DA7E97" w:rsidRDefault="00942688">
            <w:pPr>
              <w:pStyle w:val="Agreement"/>
            </w:pPr>
            <w:r>
              <w:t>R2 assumes that the maximum number of active SPS configurations for a given BWP of a serving cell in the specification is 8 or 16 (FFS).</w:t>
            </w:r>
          </w:p>
          <w:p w14:paraId="5A38C9D5" w14:textId="77777777" w:rsidR="00DA7E97" w:rsidRDefault="00942688">
            <w:pPr>
              <w:pStyle w:val="Agreement"/>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tc>
      </w:tr>
    </w:tbl>
    <w:p w14:paraId="5E1AE3C4" w14:textId="77777777" w:rsidR="00DA7E97" w:rsidRDefault="00942688">
      <w:pPr>
        <w:spacing w:before="240" w:after="0"/>
        <w:jc w:val="both"/>
        <w:rPr>
          <w:color w:val="000000"/>
          <w:lang w:eastAsia="zh-CN"/>
        </w:rPr>
      </w:pPr>
      <w:r>
        <w:rPr>
          <w:color w:val="000000"/>
          <w:lang w:eastAsia="zh-CN"/>
        </w:rPr>
        <w:t>In this contribution, several possible solutions to mitigate the misalignment between the TSC traffic and CG/SPS are compared and Pros/Cons for each solution are analysed.</w:t>
      </w:r>
    </w:p>
    <w:p w14:paraId="48A0C6AC" w14:textId="77777777" w:rsidR="00DA7E97" w:rsidRDefault="00942688">
      <w:pPr>
        <w:pStyle w:val="Heading1"/>
      </w:pPr>
      <w:r>
        <w:t>Discussion</w:t>
      </w:r>
    </w:p>
    <w:p w14:paraId="5AF2809C" w14:textId="77777777" w:rsidR="00DA7E97" w:rsidRDefault="00942688" w:rsidP="00D379F9">
      <w:pPr>
        <w:pStyle w:val="Heading2"/>
        <w:numPr>
          <w:ilvl w:val="0"/>
          <w:numId w:val="0"/>
        </w:numPr>
        <w:rPr>
          <w:lang w:eastAsia="zh-CN"/>
        </w:rPr>
      </w:pPr>
      <w:r>
        <w:rPr>
          <w:lang w:eastAsia="zh-CN"/>
        </w:rPr>
        <w:t>2.1 Possible solutions to mitigate the misalignment problem</w:t>
      </w:r>
    </w:p>
    <w:p w14:paraId="243CCF7E" w14:textId="77777777" w:rsidR="00DA7E97" w:rsidRDefault="00942688">
      <w:pPr>
        <w:jc w:val="both"/>
        <w:rPr>
          <w:lang w:eastAsia="zh-CN"/>
        </w:rPr>
      </w:pPr>
      <w:r>
        <w:rPr>
          <w:lang w:eastAsia="zh-CN"/>
        </w:rPr>
        <w:t>As described in TR 38.825 [3], the periodicity of TSN data packets depends on the specific application and in majority of the use cases, it is not possible to modify it. As shown in [4], there exist some TSC use cases where the periodicities of messages generated are not integer-multiple of NR supported symbol or slot periods. In NR, there are some resource allocation restrictions, such as the boundary of allocated resource should be aligned with the boundary of symbol or slot. It is impossible to directly support such TSC services with current SPS/CG periodicities supported in NR R15., thus there may exist periodicity misalignment issue between TSC traffic and SPS/CG resource.</w:t>
      </w:r>
    </w:p>
    <w:p w14:paraId="4BF0E10D" w14:textId="77777777" w:rsidR="00DA7E97" w:rsidRDefault="00942688">
      <w:r>
        <w:rPr>
          <w:lang w:eastAsia="zh-CN"/>
        </w:rPr>
        <w:t xml:space="preserve">In TR 38.825, several solutions that could potentially help in resolving or mitigating the above misalignment issue are listed. Besides, in the last RAN2 meeting, it is assumed that short SPS/CG periodicities and/or multiple SPS/CG configurations can be used to mitigate this issue. </w:t>
      </w:r>
    </w:p>
    <w:p w14:paraId="72F6861D" w14:textId="1823F648" w:rsidR="00DA7E97" w:rsidRDefault="00942688">
      <w:r>
        <w:rPr>
          <w:lang w:eastAsia="zh-CN"/>
        </w:rPr>
        <w:t>In below sections, the possible solutions to mitigate</w:t>
      </w:r>
      <w:r w:rsidR="003B22C7">
        <w:rPr>
          <w:lang w:eastAsia="zh-CN"/>
        </w:rPr>
        <w:t xml:space="preserve"> the misalignment issue will be</w:t>
      </w:r>
      <w:r>
        <w:rPr>
          <w:lang w:eastAsia="zh-CN"/>
        </w:rPr>
        <w:t xml:space="preserve"> analysed and compared.</w:t>
      </w:r>
    </w:p>
    <w:p w14:paraId="7683F0EE" w14:textId="77777777" w:rsidR="00DA7E97" w:rsidRDefault="00942688">
      <w:pPr>
        <w:rPr>
          <w:b/>
          <w:u w:val="single"/>
          <w:lang w:eastAsia="zh-CN"/>
        </w:rPr>
      </w:pPr>
      <w:r>
        <w:rPr>
          <w:b/>
          <w:u w:val="single"/>
          <w:lang w:eastAsia="zh-CN"/>
        </w:rPr>
        <w:t>Solution-1: Adjustment of SPS/CG resource by RRC reconfiguration/DCI command.</w:t>
      </w:r>
    </w:p>
    <w:p w14:paraId="3EBED7F7" w14:textId="77777777" w:rsidR="00DA7E97" w:rsidRDefault="00942688">
      <w:pPr>
        <w:jc w:val="both"/>
      </w:pPr>
      <w:r>
        <w:rPr>
          <w:lang w:eastAsia="zh-CN"/>
        </w:rPr>
        <w:t xml:space="preserve">In this solution, an SPS/CG can be configured with a periodicity as close as possible to the TSC traffic periodicity. Yet there exists a mismatch between arrival periodicity of TSC traffic and SPS/CG periodicity, and this mismatch will accumulate over time and result in increasing latencies. When the mismatch becomes too large to accept, a reconfiguration command should be used to adjust the SPS/CG resource, e.g. RRC reconfiguration message is used for CG type 1, and DCI command can be used for CG type 2 or SPS. </w:t>
      </w:r>
    </w:p>
    <w:p w14:paraId="3A700229" w14:textId="77777777" w:rsidR="00DA7E97" w:rsidRDefault="00942688">
      <w:pPr>
        <w:jc w:val="both"/>
      </w:pPr>
      <w:r>
        <w:rPr>
          <w:lang w:eastAsia="zh-CN"/>
        </w:rPr>
        <w:t>The RRC reconfiguration and DCI adjustment command have been already supported in NR R15. This solution requires no specification changes. However the side-effect is that in some scenarios, such adjustment are needed very frequently thus the signalling overhead could be significant.</w:t>
      </w:r>
    </w:p>
    <w:p w14:paraId="760FBA27" w14:textId="77777777" w:rsidR="00DA7E97" w:rsidRDefault="00942688">
      <w:pPr>
        <w:rPr>
          <w:b/>
          <w:u w:val="single"/>
          <w:lang w:eastAsia="zh-CN"/>
        </w:rPr>
      </w:pPr>
      <w:r>
        <w:rPr>
          <w:b/>
          <w:u w:val="single"/>
          <w:lang w:eastAsia="zh-CN"/>
        </w:rPr>
        <w:t>Solution-2: Overprovisioning of SPS/CG resources, i.e. shorter periodicity than that required.</w:t>
      </w:r>
    </w:p>
    <w:p w14:paraId="54657383" w14:textId="77777777" w:rsidR="00DA7E97" w:rsidRDefault="00942688">
      <w:pPr>
        <w:jc w:val="both"/>
      </w:pPr>
      <w:r>
        <w:rPr>
          <w:lang w:eastAsia="zh-CN"/>
        </w:rPr>
        <w:lastRenderedPageBreak/>
        <w:t>In this solution, the SPS/CG resources can be densely configured with a periodicity shorter than the TSC periodicity. Any time when a service packet arrives, there will be an available SPS/CG resource after a short time gap, which is no larger than the SPS/CG periodicity. This solution is useful to guarantee the latency requirement of TSC traffic, as the actual latency of each TSC packet can be no larger than the configured SPS/CG periodicity.</w:t>
      </w:r>
    </w:p>
    <w:p w14:paraId="530D407B" w14:textId="77777777" w:rsidR="00DA7E97" w:rsidRDefault="00942688">
      <w:pPr>
        <w:jc w:val="both"/>
      </w:pPr>
      <w:r>
        <w:rPr>
          <w:lang w:eastAsia="zh-CN"/>
        </w:rPr>
        <w:t xml:space="preserve">This solution requires almost no specification changes per se, except the supporting of finer granularity of SPS/CG periodicities. The side-effect is resource waste. Since the SPS/CG periodicity is shorter than the actual TSC periodicity, some SPS/CG occasions will be wasted due to no available data to be transmitted. The more stringent the latency requirement of TSC traffic, the shorter the SPS/CG periodicity has to be. This will lead to more serious resource inefficiency. </w:t>
      </w:r>
    </w:p>
    <w:p w14:paraId="3E6F8AFF" w14:textId="77777777" w:rsidR="00DA7E97" w:rsidRDefault="00942688">
      <w:pPr>
        <w:rPr>
          <w:b/>
          <w:lang w:eastAsia="zh-CN"/>
        </w:rPr>
      </w:pPr>
      <w:r>
        <w:rPr>
          <w:b/>
          <w:lang w:eastAsia="zh-CN"/>
        </w:rPr>
        <w:t>Observation 1: Overprovisioning of SPS/CG resources will result in resource inefficiency.</w:t>
      </w:r>
    </w:p>
    <w:p w14:paraId="58342A15" w14:textId="77777777" w:rsidR="00DA7E97" w:rsidRDefault="00942688">
      <w:r>
        <w:rPr>
          <w:b/>
          <w:u w:val="single"/>
          <w:lang w:eastAsia="zh-CN"/>
        </w:rPr>
        <w:t>Solution-3: Multiple SPS/CG configurations for a specific TSC service or combined with short periodicity.</w:t>
      </w:r>
    </w:p>
    <w:p w14:paraId="643F527A" w14:textId="77777777" w:rsidR="00DA7E97" w:rsidRDefault="00942688">
      <w:r>
        <w:rPr>
          <w:lang w:eastAsia="zh-CN"/>
        </w:rPr>
        <w:t xml:space="preserve">In this solution, in order to serve a specific TSC service with non-integer-multiple of symbol/slot periodicity, multiple SPS/CG can be configured with the same periodicity and with different time offset. This periodicity of SPS/CG can be longer than TSC periodicity, e.g. multiple times of TSC periodicity. The combination of multiple SPS/CG configurations can satisfy the performance requirement of the TSC service, e.g. latency. </w:t>
      </w:r>
    </w:p>
    <w:p w14:paraId="6C4BECE8" w14:textId="77777777" w:rsidR="00DA7E97" w:rsidRDefault="00942688">
      <w:r>
        <w:rPr>
          <w:lang w:eastAsia="zh-CN"/>
        </w:rPr>
        <w:t xml:space="preserve">Consider the smart grid use case [4] where data packets are generated with 1200 Hz, or 0.833 ms. </w:t>
      </w:r>
      <w:bookmarkStart w:id="3" w:name="_GoBack"/>
      <w:bookmarkEnd w:id="3"/>
      <w:proofErr w:type="gramStart"/>
      <w:r>
        <w:rPr>
          <w:lang w:eastAsia="zh-CN"/>
        </w:rPr>
        <w:t>As</w:t>
      </w:r>
      <w:proofErr w:type="gramEnd"/>
      <w:r>
        <w:rPr>
          <w:lang w:eastAsia="zh-CN"/>
        </w:rPr>
        <w:t xml:space="preserve"> shown in the following Fig.1, </w:t>
      </w:r>
      <w:r>
        <w:rPr>
          <w:b/>
          <w:lang w:eastAsia="zh-CN"/>
        </w:rPr>
        <w:t>six</w:t>
      </w:r>
      <w:r>
        <w:rPr>
          <w:lang w:eastAsia="zh-CN"/>
        </w:rPr>
        <w:t xml:space="preserve"> CG configurations can be configured. The periodicity of each CG is 5 ms, which is roughly </w:t>
      </w:r>
      <w:r>
        <w:rPr>
          <w:b/>
          <w:lang w:eastAsia="zh-CN"/>
        </w:rPr>
        <w:t>six</w:t>
      </w:r>
      <w:r>
        <w:rPr>
          <w:lang w:eastAsia="zh-CN"/>
        </w:rPr>
        <w:t xml:space="preserve"> times of the TSC traffic periodicity. In addition, each CG is configured with a different offset. As shown in the figure, each time when a TSC packet is generated, there will be an appropriate CG resource after a small time gap, i.e. no more than 0.833 </w:t>
      </w:r>
      <w:proofErr w:type="gramStart"/>
      <w:r>
        <w:rPr>
          <w:lang w:eastAsia="zh-CN"/>
        </w:rPr>
        <w:t>ms</w:t>
      </w:r>
      <w:proofErr w:type="gramEnd"/>
      <w:r>
        <w:rPr>
          <w:lang w:eastAsia="zh-CN"/>
        </w:rPr>
        <w:t>. If the duration of each CG is minimized, so is the time offsets among multiple CG configurations</w:t>
      </w:r>
      <w:r>
        <w:rPr>
          <w:rStyle w:val="CommentReference"/>
        </w:rPr>
        <w:commentReference w:id="4"/>
      </w:r>
      <w:r w:rsidR="003B5FD9">
        <w:rPr>
          <w:rStyle w:val="CommentReference"/>
        </w:rPr>
        <w:commentReference w:id="5"/>
      </w:r>
      <w:r>
        <w:rPr>
          <w:lang w:eastAsia="zh-CN"/>
        </w:rPr>
        <w:t>, the latency to wait for an appropriate CG occasion can be minimized.</w:t>
      </w:r>
    </w:p>
    <w:p w14:paraId="37CC7146" w14:textId="77777777" w:rsidR="00DA7E97" w:rsidRDefault="00942688">
      <w:pPr>
        <w:jc w:val="center"/>
      </w:pPr>
      <w:r>
        <w:object w:dxaOrig="9053" w:dyaOrig="1813" w14:anchorId="178B0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52.55pt;height:90.05pt;visibility:visible;mso-wrap-style:square" o:ole="">
            <v:imagedata r:id="rId9" o:title=""/>
          </v:shape>
          <o:OLEObject Type="Embed" ProgID="Visio.Drawing.15" ShapeID="Object 1" DrawAspect="Content" ObjectID="_1618337859" r:id="rId10"/>
        </w:object>
      </w:r>
    </w:p>
    <w:p w14:paraId="392260F9" w14:textId="77777777" w:rsidR="00DA7E97" w:rsidRDefault="00942688">
      <w:pPr>
        <w:jc w:val="center"/>
      </w:pPr>
      <w:r>
        <w:rPr>
          <w:i/>
        </w:rPr>
        <w:t>Fig.1 Illustration of multiple SPS/CG configurations</w:t>
      </w:r>
    </w:p>
    <w:p w14:paraId="76EF026D" w14:textId="5B53C875" w:rsidR="00DA7E97" w:rsidRDefault="00942688">
      <w:r>
        <w:rPr>
          <w:lang w:eastAsia="zh-CN"/>
        </w:rPr>
        <w:t>This solution requires small specification changes, such as support multiple SPS/CG configurations that is already agreed. Besides, this solution can guarantee the configured resources being fully utilized. But multiple configurations will be occupied to just serve one TSC service. As the example above, six configurations are used for a specific TSC service. For some other TSC services, similar multiple configurations may be needed. This will limit the total number of TSC services supported by a single UE. In actual deployment scenarios, a UE can link to several TSN end devices, each of which has its own TSC service(s). The UE should handle the traffic from/to multiple linked end devices. Thus, relying on multiple SPS/CG configurations is not beneficial from perspective of supporting multiple TSC services.</w:t>
      </w:r>
    </w:p>
    <w:p w14:paraId="4A3D04DC" w14:textId="77777777" w:rsidR="00DA7E97" w:rsidRDefault="00942688">
      <w:r>
        <w:rPr>
          <w:b/>
          <w:lang w:eastAsia="zh-CN"/>
        </w:rPr>
        <w:t>Observation 2: Relying on multiple SPS/CG configurations is not optimal for supporting multiple TSC services.</w:t>
      </w:r>
    </w:p>
    <w:p w14:paraId="21F0501A" w14:textId="77777777" w:rsidR="00DA7E97" w:rsidRDefault="00942688">
      <w:pPr>
        <w:rPr>
          <w:b/>
          <w:u w:val="single"/>
          <w:lang w:eastAsia="zh-CN"/>
        </w:rPr>
      </w:pPr>
      <w:r>
        <w:rPr>
          <w:b/>
          <w:u w:val="single"/>
          <w:lang w:eastAsia="zh-CN"/>
        </w:rPr>
        <w:t>Solution-4: Bitmap based resource configuration provided by the network.</w:t>
      </w:r>
    </w:p>
    <w:p w14:paraId="1B3DC9AB" w14:textId="77777777" w:rsidR="00DA7E97" w:rsidRDefault="00942688">
      <w:pPr>
        <w:jc w:val="both"/>
      </w:pPr>
      <w:r>
        <w:rPr>
          <w:lang w:eastAsia="zh-CN"/>
        </w:rPr>
        <w:t xml:space="preserve">The WID for IIoT includes support of UE’s TSC traffic pattern </w:t>
      </w:r>
      <w:r>
        <w:rPr>
          <w:lang w:val="en-US" w:eastAsia="en-GB"/>
        </w:rPr>
        <w:t xml:space="preserve">related information such as </w:t>
      </w:r>
      <w:r>
        <w:rPr>
          <w:lang w:eastAsia="en-GB"/>
        </w:rPr>
        <w:t>message</w:t>
      </w:r>
      <w:r>
        <w:rPr>
          <w:lang w:val="en-US" w:eastAsia="en-GB"/>
        </w:rPr>
        <w:t xml:space="preserve"> periodicity, message size, message arrival time at gNB (DL) and UE (UL). Based on the TSC traffic pattern related information, the gNB has the knowledge about when the TSC messages need to be transmitted. The gNB can allocate an appropriate resource pattern through a bitmap based method. </w:t>
      </w:r>
    </w:p>
    <w:p w14:paraId="2C6E5EE4" w14:textId="77777777" w:rsidR="00DA7E97" w:rsidRDefault="00942688">
      <w:pPr>
        <w:jc w:val="both"/>
      </w:pPr>
      <w:r>
        <w:rPr>
          <w:lang w:val="en-US" w:eastAsia="en-GB"/>
        </w:rPr>
        <w:t xml:space="preserve">Fig.2 shows an example of this solution. The TSC traffic messages are assumed to be generated every 1.6 ms, and the first message arrives at time 0 </w:t>
      </w:r>
      <w:proofErr w:type="spellStart"/>
      <w:proofErr w:type="gramStart"/>
      <w:r>
        <w:rPr>
          <w:lang w:val="en-US" w:eastAsia="en-GB"/>
        </w:rPr>
        <w:t>ms</w:t>
      </w:r>
      <w:proofErr w:type="gramEnd"/>
      <w:r>
        <w:rPr>
          <w:lang w:val="en-US" w:eastAsia="en-GB"/>
        </w:rPr>
        <w:t>.</w:t>
      </w:r>
      <w:proofErr w:type="spellEnd"/>
      <w:r>
        <w:rPr>
          <w:lang w:val="en-US" w:eastAsia="en-GB"/>
        </w:rPr>
        <w:t xml:space="preserve"> Assuming an appropriate transmission resource should occupy a slot. Then the gNB can allocate a UL grant in each slot after the time point a message arrives. Then the allocated UL grants repeat every 8 </w:t>
      </w:r>
      <w:proofErr w:type="spellStart"/>
      <w:r>
        <w:rPr>
          <w:lang w:val="en-US" w:eastAsia="en-GB"/>
        </w:rPr>
        <w:t>ms.</w:t>
      </w:r>
      <w:proofErr w:type="spellEnd"/>
      <w:r>
        <w:rPr>
          <w:lang w:val="en-US" w:eastAsia="en-GB"/>
        </w:rPr>
        <w:t xml:space="preserve"> A bitmap can be used to represent the pre-allocated resource pattern during 8 ms, such as ‘</w:t>
      </w:r>
      <w:r>
        <w:rPr>
          <w:b/>
          <w:lang w:val="en-US" w:eastAsia="en-GB"/>
        </w:rPr>
        <w:t>10101101</w:t>
      </w:r>
      <w:r>
        <w:rPr>
          <w:lang w:val="en-US" w:eastAsia="en-GB"/>
        </w:rPr>
        <w:t xml:space="preserve">’. Each bit can present a slot. Bit ‘1’ means there is a pre-configured UL grant in the corresponding slot, and ‘0’ means otherwise. If there is a pre-configured UL grant in a slot, the time-frequency location of the grant should also be </w:t>
      </w:r>
      <w:r>
        <w:rPr>
          <w:lang w:val="en-US" w:eastAsia="zh-CN"/>
        </w:rPr>
        <w:t>indicated</w:t>
      </w:r>
      <w:r>
        <w:rPr>
          <w:lang w:val="en-US" w:eastAsia="en-GB"/>
        </w:rPr>
        <w:t xml:space="preserve"> by the gNB. It should be noted that similar bitmap based resource allocation mechanism is adopted in AUL of LTE.</w:t>
      </w:r>
    </w:p>
    <w:p w14:paraId="213B2C65" w14:textId="77777777" w:rsidR="00DA7E97" w:rsidRDefault="00942688">
      <w:pPr>
        <w:jc w:val="center"/>
      </w:pPr>
      <w:r>
        <w:object w:dxaOrig="8847" w:dyaOrig="2620" w14:anchorId="4B665AE0">
          <v:shape id="Object 2" o:spid="_x0000_i1026" type="#_x0000_t75" style="width:442.85pt;height:130.95pt;visibility:visible;mso-wrap-style:square" o:ole="">
            <v:imagedata r:id="rId11" o:title=""/>
          </v:shape>
          <o:OLEObject Type="Embed" ProgID="Visio.Drawing.15" ShapeID="Object 2" DrawAspect="Content" ObjectID="_1618337860" r:id="rId12"/>
        </w:object>
      </w:r>
    </w:p>
    <w:p w14:paraId="7622D0D1" w14:textId="77777777" w:rsidR="00DA7E97" w:rsidRDefault="00942688">
      <w:pPr>
        <w:jc w:val="center"/>
      </w:pPr>
      <w:r>
        <w:rPr>
          <w:i/>
        </w:rPr>
        <w:t>Fig.2 Illustration of bitmap based resource allocation</w:t>
      </w:r>
    </w:p>
    <w:p w14:paraId="30B1CF9F" w14:textId="77777777" w:rsidR="00DA7E97" w:rsidRDefault="00942688">
      <w:r>
        <w:rPr>
          <w:lang w:val="en-US" w:eastAsia="en-GB"/>
        </w:rPr>
        <w:t xml:space="preserve">In this solution, some standard efforts should be made, such as how to design the bitmap and how UE determines the SPS/CG occasions based on the bitmap. But </w:t>
      </w:r>
      <w:r>
        <w:rPr>
          <w:lang w:eastAsia="zh-CN"/>
        </w:rPr>
        <w:t>resource waste and signalling overhead could be avoided. This solution can achieve the same effect with solution-3. Taking Fig.2 as an example, the bitmap based pre-configured UL grants can also be represented by 6 CG configurations. Each of CGs is configured with the same periodicity of 8 ms and different time offsets. The offset of the first CG can be 0 ms, and the offset of the second CG can be 2 ms, etc.</w:t>
      </w:r>
    </w:p>
    <w:p w14:paraId="3076DD9B" w14:textId="77777777" w:rsidR="00DA7E97" w:rsidRDefault="00942688">
      <w:pPr>
        <w:rPr>
          <w:b/>
          <w:lang w:eastAsia="zh-CN"/>
        </w:rPr>
      </w:pPr>
      <w:r>
        <w:rPr>
          <w:b/>
          <w:lang w:eastAsia="zh-CN"/>
        </w:rPr>
        <w:t>Observation 3: Bitmap based resource allocation can achieve the same effect with multiple configurations approach.</w:t>
      </w:r>
    </w:p>
    <w:p w14:paraId="5B204ACA" w14:textId="77777777" w:rsidR="00DA7E97" w:rsidRDefault="00942688">
      <w:pPr>
        <w:rPr>
          <w:b/>
          <w:u w:val="single"/>
          <w:lang w:eastAsia="zh-CN"/>
        </w:rPr>
      </w:pPr>
      <w:r>
        <w:rPr>
          <w:b/>
          <w:u w:val="single"/>
          <w:lang w:eastAsia="zh-CN"/>
        </w:rPr>
        <w:t>Solution-5: UE derives the pre-configured resource occasions from TSC traffic pattern and resource restrictions.</w:t>
      </w:r>
    </w:p>
    <w:p w14:paraId="00E20C2A" w14:textId="77777777" w:rsidR="00DA7E97" w:rsidRDefault="00942688">
      <w:pPr>
        <w:jc w:val="both"/>
      </w:pPr>
      <w:r>
        <w:rPr>
          <w:lang w:eastAsia="zh-CN"/>
        </w:rPr>
        <w:t xml:space="preserve">In this solution, the TSC traffic pattern and resource restrictions can be configured/notified to UE. UE </w:t>
      </w:r>
      <w:r>
        <w:rPr>
          <w:lang w:val="en-US" w:eastAsia="en-GB"/>
        </w:rPr>
        <w:t>has the knowledge about when the TSC messages need to be transmitted. According to the configured resource restrictions, UE can derive the appropriate transmission occasion after each time point a TSC packet arrives.</w:t>
      </w:r>
    </w:p>
    <w:p w14:paraId="7AF9667E" w14:textId="77777777" w:rsidR="00DA7E97" w:rsidRDefault="00942688">
      <w:pPr>
        <w:jc w:val="both"/>
      </w:pPr>
      <w:r>
        <w:rPr>
          <w:lang w:val="en-US" w:eastAsia="en-GB"/>
        </w:rPr>
        <w:t xml:space="preserve">Fig.3 shows an example of this solution. The gNB provides the TSC traffic pattern to UE, e.g. the TSC traffic packets are assumed to be generated every 1.6 ms, and the first UL message arrives at time 0 </w:t>
      </w:r>
      <w:proofErr w:type="spellStart"/>
      <w:proofErr w:type="gramStart"/>
      <w:r>
        <w:rPr>
          <w:lang w:val="en-US" w:eastAsia="en-GB"/>
        </w:rPr>
        <w:t>ms</w:t>
      </w:r>
      <w:proofErr w:type="gramEnd"/>
      <w:r>
        <w:rPr>
          <w:lang w:val="en-US" w:eastAsia="en-GB"/>
        </w:rPr>
        <w:t>.</w:t>
      </w:r>
      <w:proofErr w:type="spellEnd"/>
      <w:r>
        <w:rPr>
          <w:lang w:val="en-US" w:eastAsia="en-GB"/>
        </w:rPr>
        <w:t xml:space="preserve"> Besides, a resource restriction is configured, such as an appropriate transmission occasion should occupy a complete slot. The frequency location of each pre-configured resource can be configured by the gNB. The time location of each resource will be derived by UE from the TSC traffic pattern and the configured resource restrictions. As shown in Fig.3, the derived pre-allocated UL grant for the packet arrived at 0.0 ms locates in the first slot. The derived UL grant for the packet arrived at 1.6 ms locates in the third slot, and so on.</w:t>
      </w:r>
    </w:p>
    <w:p w14:paraId="4CDDFBAA" w14:textId="77777777" w:rsidR="00DA7E97" w:rsidRDefault="00942688">
      <w:pPr>
        <w:jc w:val="center"/>
      </w:pPr>
      <w:r>
        <w:object w:dxaOrig="9213" w:dyaOrig="2547" w14:anchorId="30B91BB7">
          <v:shape id="Object 3" o:spid="_x0000_i1027" type="#_x0000_t75" style="width:460.65pt;height:127.6pt;visibility:visible;mso-wrap-style:square" o:ole="">
            <v:imagedata r:id="rId13" o:title=""/>
          </v:shape>
          <o:OLEObject Type="Embed" ProgID="Visio.Drawing.15" ShapeID="Object 3" DrawAspect="Content" ObjectID="_1618337861" r:id="rId14"/>
        </w:object>
      </w:r>
    </w:p>
    <w:p w14:paraId="7B0C92EE" w14:textId="77777777" w:rsidR="00DA7E97" w:rsidRDefault="00942688">
      <w:pPr>
        <w:jc w:val="center"/>
      </w:pPr>
      <w:r>
        <w:rPr>
          <w:i/>
        </w:rPr>
        <w:t>Fig.3 Illustration of UE-deriving based resource allocation</w:t>
      </w:r>
    </w:p>
    <w:p w14:paraId="2C6D9D10" w14:textId="383E138F" w:rsidR="00DA7E97" w:rsidRDefault="00942688">
      <w:r>
        <w:rPr>
          <w:lang w:val="en-US" w:eastAsia="en-GB"/>
        </w:rPr>
        <w:t>In this solution, the gNB shall have the same understanding of the transmission occasion determination as UE.</w:t>
      </w:r>
      <w:r>
        <w:rPr>
          <w:lang w:eastAsia="zh-CN"/>
        </w:rPr>
        <w:t xml:space="preserve"> </w:t>
      </w:r>
      <w:bookmarkStart w:id="6" w:name="OLE_LINK22"/>
      <w:r>
        <w:rPr>
          <w:lang w:val="en-US" w:eastAsia="en-GB"/>
        </w:rPr>
        <w:t>Some standard efforts should be made, such as how to design and deliver the resource restrictions.</w:t>
      </w:r>
      <w:bookmarkEnd w:id="6"/>
      <w:r>
        <w:rPr>
          <w:lang w:val="en-US" w:eastAsia="en-GB"/>
        </w:rPr>
        <w:t xml:space="preserve"> </w:t>
      </w:r>
      <w:r>
        <w:rPr>
          <w:lang w:eastAsia="zh-CN"/>
        </w:rPr>
        <w:t>Resource waste and signalling overhead could be kept at minimal level. This solution can achieve the same effect with solution-3 and solution-4.</w:t>
      </w:r>
    </w:p>
    <w:p w14:paraId="042F382C" w14:textId="77777777" w:rsidR="00DA7E97" w:rsidRDefault="00942688" w:rsidP="00D379F9">
      <w:pPr>
        <w:pStyle w:val="Heading2"/>
        <w:numPr>
          <w:ilvl w:val="0"/>
          <w:numId w:val="0"/>
        </w:numPr>
        <w:rPr>
          <w:lang w:eastAsia="zh-CN"/>
        </w:rPr>
      </w:pPr>
      <w:r>
        <w:rPr>
          <w:lang w:eastAsia="zh-CN"/>
        </w:rPr>
        <w:t>2.2 Pros/Cons comparison between solutions</w:t>
      </w:r>
    </w:p>
    <w:p w14:paraId="451D8754" w14:textId="6D04EFBD" w:rsidR="003B5FD9" w:rsidRPr="00927344" w:rsidRDefault="00942688" w:rsidP="003B5FD9">
      <w:pPr>
        <w:jc w:val="center"/>
        <w:rPr>
          <w:lang w:eastAsia="zh-CN"/>
        </w:rPr>
      </w:pPr>
      <w:bookmarkStart w:id="7" w:name="OLE_LINK1"/>
      <w:bookmarkStart w:id="8" w:name="OLE_LINK2"/>
      <w:r>
        <w:rPr>
          <w:lang w:eastAsia="zh-CN"/>
        </w:rPr>
        <w:t>Based on the above analysis, the Pros and Cons of possible solutions are summarized in the following table:</w:t>
      </w:r>
    </w:p>
    <w:tbl>
      <w:tblPr>
        <w:tblW w:w="9639" w:type="dxa"/>
        <w:tblInd w:w="108" w:type="dxa"/>
        <w:tblCellMar>
          <w:left w:w="10" w:type="dxa"/>
          <w:right w:w="10" w:type="dxa"/>
        </w:tblCellMar>
        <w:tblLook w:val="0000" w:firstRow="0" w:lastRow="0" w:firstColumn="0" w:lastColumn="0" w:noHBand="0" w:noVBand="0"/>
      </w:tblPr>
      <w:tblGrid>
        <w:gridCol w:w="2410"/>
        <w:gridCol w:w="4052"/>
        <w:gridCol w:w="3177"/>
      </w:tblGrid>
      <w:tr w:rsidR="00DA7E97" w14:paraId="071D5C32"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DE30D" w14:textId="77777777" w:rsidR="00DA7E97" w:rsidRDefault="00942688">
            <w:pPr>
              <w:jc w:val="center"/>
              <w:rPr>
                <w:b/>
                <w:sz w:val="22"/>
                <w:lang w:eastAsia="zh-CN"/>
              </w:rPr>
            </w:pPr>
            <w:r>
              <w:rPr>
                <w:b/>
                <w:sz w:val="22"/>
                <w:lang w:eastAsia="zh-CN"/>
              </w:rPr>
              <w:t>Possible solutions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3241" w14:textId="77777777" w:rsidR="00DA7E97" w:rsidRDefault="00942688">
            <w:pPr>
              <w:jc w:val="center"/>
              <w:rPr>
                <w:b/>
                <w:sz w:val="22"/>
                <w:lang w:eastAsia="zh-CN"/>
              </w:rPr>
            </w:pPr>
            <w:r>
              <w:rPr>
                <w:b/>
                <w:sz w:val="22"/>
                <w:lang w:eastAsia="zh-CN"/>
              </w:rPr>
              <w:t>Pros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0BADB" w14:textId="77777777" w:rsidR="00DA7E97" w:rsidRDefault="00942688">
            <w:pPr>
              <w:jc w:val="center"/>
              <w:rPr>
                <w:b/>
                <w:sz w:val="22"/>
                <w:lang w:eastAsia="zh-CN"/>
              </w:rPr>
            </w:pPr>
            <w:r>
              <w:rPr>
                <w:b/>
                <w:sz w:val="22"/>
                <w:lang w:eastAsia="zh-CN"/>
              </w:rPr>
              <w:t>Cons</w:t>
            </w:r>
          </w:p>
        </w:tc>
      </w:tr>
      <w:tr w:rsidR="00DA7E97" w14:paraId="4D79DE09"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6AEBA" w14:textId="77777777" w:rsidR="00DA7E97" w:rsidRDefault="00942688">
            <w:pPr>
              <w:jc w:val="center"/>
              <w:rPr>
                <w:lang w:eastAsia="zh-CN"/>
              </w:rPr>
            </w:pPr>
            <w:bookmarkStart w:id="9" w:name="OLE_LINK20"/>
            <w:r>
              <w:rPr>
                <w:lang w:eastAsia="zh-CN"/>
              </w:rPr>
              <w:lastRenderedPageBreak/>
              <w:t>Solution-1</w:t>
            </w:r>
            <w:bookmarkEnd w:id="9"/>
            <w:r>
              <w:rPr>
                <w:lang w:eastAsia="zh-CN"/>
              </w:rPr>
              <w:t>: Adjustment by RRC/DCI command</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9D0C3" w14:textId="77777777" w:rsidR="00DA7E97" w:rsidRDefault="00942688">
            <w:pPr>
              <w:jc w:val="both"/>
              <w:rPr>
                <w:lang w:eastAsia="zh-CN"/>
              </w:rPr>
            </w:pPr>
            <w:r>
              <w:rPr>
                <w:lang w:eastAsia="zh-CN"/>
              </w:rPr>
              <w:t>No specification changes.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AB5B6" w14:textId="77777777" w:rsidR="00DA7E97" w:rsidRDefault="00942688">
            <w:pPr>
              <w:jc w:val="both"/>
              <w:rPr>
                <w:lang w:eastAsia="zh-CN"/>
              </w:rPr>
            </w:pPr>
            <w:r>
              <w:rPr>
                <w:lang w:eastAsia="zh-CN"/>
              </w:rPr>
              <w:t>Signalling overhead could be significant.</w:t>
            </w:r>
          </w:p>
        </w:tc>
      </w:tr>
      <w:tr w:rsidR="00DA7E97" w14:paraId="78F6BA66"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7CDB8" w14:textId="77777777" w:rsidR="00DA7E97" w:rsidRDefault="00942688">
            <w:pPr>
              <w:jc w:val="center"/>
              <w:rPr>
                <w:lang w:eastAsia="zh-CN"/>
              </w:rPr>
            </w:pPr>
            <w:r>
              <w:rPr>
                <w:lang w:eastAsia="zh-CN"/>
              </w:rPr>
              <w:t>Solution-2: Overprovisioning of SPS/CG resources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BEC80" w14:textId="77777777" w:rsidR="00DA7E97" w:rsidRDefault="00942688">
            <w:pPr>
              <w:jc w:val="both"/>
              <w:rPr>
                <w:lang w:eastAsia="zh-CN"/>
              </w:rPr>
            </w:pPr>
            <w:r>
              <w:rPr>
                <w:lang w:eastAsia="zh-CN"/>
              </w:rPr>
              <w:t>Almost no specification changes, except to support finer granularity of SPS/CG periodicities.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CD079" w14:textId="77777777" w:rsidR="00DA7E97" w:rsidRDefault="00942688">
            <w:pPr>
              <w:jc w:val="both"/>
              <w:rPr>
                <w:lang w:eastAsia="zh-CN"/>
              </w:rPr>
            </w:pPr>
            <w:r>
              <w:rPr>
                <w:lang w:eastAsia="zh-CN"/>
              </w:rPr>
              <w:t>Resource inefficiency.</w:t>
            </w:r>
          </w:p>
        </w:tc>
      </w:tr>
      <w:tr w:rsidR="00DA7E97" w14:paraId="2B50E83E"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9D26B" w14:textId="77777777" w:rsidR="00DA7E97" w:rsidRDefault="00942688">
            <w:pPr>
              <w:jc w:val="center"/>
              <w:rPr>
                <w:lang w:eastAsia="zh-CN"/>
              </w:rPr>
            </w:pPr>
            <w:r>
              <w:rPr>
                <w:lang w:eastAsia="zh-CN"/>
              </w:rPr>
              <w:t>Solution-3: Multiple SPS/CG configurations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A13FD" w14:textId="77777777" w:rsidR="00DA7E97" w:rsidRDefault="00942688">
            <w:pPr>
              <w:jc w:val="both"/>
              <w:rPr>
                <w:lang w:eastAsia="zh-CN"/>
              </w:rPr>
            </w:pPr>
            <w:r>
              <w:rPr>
                <w:lang w:eastAsia="zh-CN"/>
              </w:rPr>
              <w:t>Small specification changes. Should support multiple SPS/CG configurations, which is already agreed.</w:t>
            </w:r>
          </w:p>
          <w:p w14:paraId="0B0D7E78" w14:textId="77777777" w:rsidR="00DA7E97" w:rsidRDefault="00942688">
            <w:pPr>
              <w:jc w:val="both"/>
              <w:rPr>
                <w:lang w:eastAsia="zh-CN"/>
              </w:rPr>
            </w:pPr>
            <w:r>
              <w:rPr>
                <w:lang w:eastAsia="zh-CN"/>
              </w:rPr>
              <w:t>Resource waste and signalling overhead can be avoided.</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985DB" w14:textId="77777777" w:rsidR="00DA7E97" w:rsidRDefault="00942688">
            <w:pPr>
              <w:jc w:val="both"/>
              <w:rPr>
                <w:lang w:eastAsia="zh-CN"/>
              </w:rPr>
            </w:pPr>
            <w:r>
              <w:rPr>
                <w:lang w:eastAsia="zh-CN"/>
              </w:rPr>
              <w:t>Not beneficial to support multiple TSC services.</w:t>
            </w:r>
          </w:p>
        </w:tc>
      </w:tr>
      <w:tr w:rsidR="00DA7E97" w14:paraId="47FEA4BB"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A6984" w14:textId="77777777" w:rsidR="00DA7E97" w:rsidRDefault="00942688">
            <w:pPr>
              <w:jc w:val="center"/>
              <w:rPr>
                <w:lang w:eastAsia="zh-CN"/>
              </w:rPr>
            </w:pPr>
            <w:r>
              <w:rPr>
                <w:lang w:eastAsia="zh-CN"/>
              </w:rPr>
              <w:t>Solution-4: Bitmap based resource allocation</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EC260" w14:textId="77777777" w:rsidR="00DA7E97" w:rsidRDefault="00942688">
            <w:pPr>
              <w:jc w:val="both"/>
              <w:rPr>
                <w:lang w:eastAsia="zh-CN"/>
              </w:rPr>
            </w:pPr>
            <w:r>
              <w:rPr>
                <w:lang w:eastAsia="zh-CN"/>
              </w:rPr>
              <w:t>Can achieve the same effect with solution-3.</w:t>
            </w:r>
          </w:p>
          <w:p w14:paraId="4CD3930C" w14:textId="77777777" w:rsidR="00DA7E97" w:rsidRDefault="00942688">
            <w:pPr>
              <w:jc w:val="both"/>
              <w:rPr>
                <w:lang w:eastAsia="zh-CN"/>
              </w:rPr>
            </w:pPr>
            <w:r>
              <w:rPr>
                <w:lang w:eastAsia="zh-CN"/>
              </w:rPr>
              <w:t>Resource waste and signalling overhead can be avoided.</w:t>
            </w:r>
          </w:p>
          <w:p w14:paraId="6BBD19B6" w14:textId="77777777" w:rsidR="00DA7E97" w:rsidRDefault="00942688">
            <w:pPr>
              <w:jc w:val="both"/>
              <w:rPr>
                <w:lang w:eastAsia="zh-CN"/>
              </w:rPr>
            </w:pPr>
            <w:r>
              <w:rPr>
                <w:lang w:eastAsia="zh-CN"/>
              </w:rPr>
              <w:t>Beneficial to support multiple TSC services.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0399A" w14:textId="77777777" w:rsidR="00DA7E97" w:rsidRDefault="00942688">
            <w:pPr>
              <w:jc w:val="both"/>
            </w:pPr>
            <w:r>
              <w:rPr>
                <w:lang w:eastAsia="zh-CN"/>
              </w:rPr>
              <w:t xml:space="preserve">Should made some standard effort, such as </w:t>
            </w:r>
            <w:r>
              <w:rPr>
                <w:lang w:val="en-US" w:eastAsia="en-GB"/>
              </w:rPr>
              <w:t>how to design the bitmap and how UE determines the SPS/CG occasions based on the bitmap.</w:t>
            </w:r>
          </w:p>
        </w:tc>
      </w:tr>
      <w:tr w:rsidR="00DA7E97" w14:paraId="330995AC"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28755" w14:textId="77777777" w:rsidR="00DA7E97" w:rsidRDefault="00942688">
            <w:pPr>
              <w:jc w:val="center"/>
              <w:rPr>
                <w:lang w:eastAsia="zh-CN"/>
              </w:rPr>
            </w:pPr>
            <w:r>
              <w:rPr>
                <w:lang w:eastAsia="zh-CN"/>
              </w:rPr>
              <w:t>Solution-5: UE derives occasions from traffic pattern and resource restrictions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E82D8" w14:textId="77777777" w:rsidR="00DA7E97" w:rsidRDefault="00942688">
            <w:pPr>
              <w:jc w:val="both"/>
              <w:rPr>
                <w:lang w:eastAsia="zh-CN"/>
              </w:rPr>
            </w:pPr>
            <w:r>
              <w:rPr>
                <w:lang w:eastAsia="zh-CN"/>
              </w:rPr>
              <w:t>Can achieve the same effect with solution-3 and solution-4.</w:t>
            </w:r>
          </w:p>
          <w:p w14:paraId="1ABE96CD" w14:textId="77777777" w:rsidR="00DA7E97" w:rsidRDefault="00942688">
            <w:pPr>
              <w:jc w:val="both"/>
              <w:rPr>
                <w:lang w:eastAsia="zh-CN"/>
              </w:rPr>
            </w:pPr>
            <w:r>
              <w:rPr>
                <w:lang w:eastAsia="zh-CN"/>
              </w:rPr>
              <w:t>Resource waste and signalling overhead can be avoided.</w:t>
            </w:r>
          </w:p>
          <w:p w14:paraId="1CABF38B" w14:textId="77777777" w:rsidR="00DA7E97" w:rsidRDefault="00942688">
            <w:pPr>
              <w:jc w:val="both"/>
              <w:rPr>
                <w:lang w:eastAsia="zh-CN"/>
              </w:rPr>
            </w:pPr>
            <w:r>
              <w:rPr>
                <w:lang w:eastAsia="zh-CN"/>
              </w:rPr>
              <w:t>Beneficial to support multiple TSC services.</w:t>
            </w:r>
          </w:p>
        </w:tc>
        <w:tc>
          <w:tcPr>
            <w:tcW w:w="3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AD066" w14:textId="77777777" w:rsidR="00DA7E97" w:rsidRDefault="00942688">
            <w:pPr>
              <w:jc w:val="both"/>
            </w:pPr>
            <w:r>
              <w:rPr>
                <w:lang w:val="en-US" w:eastAsia="en-GB"/>
              </w:rPr>
              <w:t>Some standard efforts should be made, such as how to design and deliver the resource restrictions.</w:t>
            </w:r>
          </w:p>
        </w:tc>
      </w:tr>
    </w:tbl>
    <w:p w14:paraId="11BFBF4E" w14:textId="77777777" w:rsidR="00DA7E97" w:rsidRDefault="00942688">
      <w:pPr>
        <w:spacing w:before="240"/>
        <w:jc w:val="both"/>
      </w:pPr>
      <w:r>
        <w:rPr>
          <w:lang w:eastAsia="zh-CN"/>
        </w:rPr>
        <w:t>Considering the above Pros and Cons of each solution, and in order to avoid resource inefficiency and to support multiple TSC services, solution-4 and solution-5 can also be considered to mitigate the misalignment issue.</w:t>
      </w:r>
    </w:p>
    <w:p w14:paraId="041AC252" w14:textId="77777777" w:rsidR="00DA7E97" w:rsidRDefault="00942688">
      <w:pPr>
        <w:spacing w:after="120"/>
        <w:jc w:val="both"/>
        <w:rPr>
          <w:b/>
          <w:lang w:eastAsia="zh-CN"/>
        </w:rPr>
      </w:pPr>
      <w:r>
        <w:rPr>
          <w:b/>
          <w:lang w:eastAsia="zh-CN"/>
        </w:rPr>
        <w:t>Proposal 1: In order to avoid resource inefficiency and to support multiple TSC services, the following two solutions can also be considered to mitigate the misalignment issue:</w:t>
      </w:r>
    </w:p>
    <w:p w14:paraId="119D72FF" w14:textId="77777777" w:rsidR="00DA7E97" w:rsidRDefault="00942688">
      <w:pPr>
        <w:spacing w:after="120"/>
        <w:jc w:val="both"/>
        <w:rPr>
          <w:b/>
          <w:lang w:eastAsia="zh-CN"/>
        </w:rPr>
      </w:pPr>
      <w:r>
        <w:rPr>
          <w:b/>
          <w:lang w:eastAsia="zh-CN"/>
        </w:rPr>
        <w:tab/>
        <w:t>Alt-1: Bitmap based resource configuration is provided by the network.</w:t>
      </w:r>
    </w:p>
    <w:p w14:paraId="605164BF" w14:textId="77777777" w:rsidR="00DA7E97" w:rsidRDefault="00942688">
      <w:pPr>
        <w:spacing w:after="120"/>
        <w:jc w:val="both"/>
      </w:pPr>
      <w:r>
        <w:rPr>
          <w:b/>
          <w:lang w:eastAsia="zh-CN"/>
        </w:rPr>
        <w:tab/>
        <w:t xml:space="preserve">Alt-2: UE derives the positions of pre-configured resources based on TSC traffic pattern and resource </w:t>
      </w:r>
      <w:r>
        <w:rPr>
          <w:b/>
          <w:lang w:eastAsia="zh-CN"/>
        </w:rPr>
        <w:tab/>
      </w:r>
      <w:r>
        <w:rPr>
          <w:b/>
          <w:lang w:eastAsia="zh-CN"/>
        </w:rPr>
        <w:tab/>
      </w:r>
      <w:r>
        <w:rPr>
          <w:b/>
          <w:lang w:eastAsia="zh-CN"/>
        </w:rPr>
        <w:tab/>
      </w:r>
      <w:r>
        <w:rPr>
          <w:b/>
          <w:lang w:eastAsia="zh-CN"/>
        </w:rPr>
        <w:tab/>
      </w:r>
      <w:r>
        <w:rPr>
          <w:b/>
          <w:lang w:eastAsia="zh-CN"/>
        </w:rPr>
        <w:tab/>
        <w:t>restrictions.</w:t>
      </w:r>
    </w:p>
    <w:p w14:paraId="2D92D180" w14:textId="77777777" w:rsidR="00DA7E97" w:rsidRDefault="00942688">
      <w:pPr>
        <w:pStyle w:val="Heading1"/>
      </w:pPr>
      <w:r>
        <w:t>Conclusion</w:t>
      </w:r>
    </w:p>
    <w:p w14:paraId="747BD45E" w14:textId="77777777" w:rsidR="00DA7E97" w:rsidRDefault="00942688">
      <w:pPr>
        <w:pStyle w:val="BodyText"/>
        <w:spacing w:after="144" w:line="276" w:lineRule="auto"/>
      </w:pPr>
      <w:r>
        <w:rPr>
          <w:lang w:val="en-US"/>
        </w:rPr>
        <w:t xml:space="preserve">In this contribution, </w:t>
      </w:r>
      <w:r>
        <w:rPr>
          <w:color w:val="000000"/>
          <w:lang w:eastAsia="zh-CN"/>
        </w:rPr>
        <w:t xml:space="preserve">we </w:t>
      </w:r>
      <w:proofErr w:type="spellStart"/>
      <w:r>
        <w:rPr>
          <w:color w:val="000000"/>
          <w:lang w:eastAsia="zh-CN"/>
        </w:rPr>
        <w:t>analyzed</w:t>
      </w:r>
      <w:proofErr w:type="spellEnd"/>
      <w:r>
        <w:rPr>
          <w:color w:val="000000"/>
          <w:lang w:eastAsia="zh-CN"/>
        </w:rPr>
        <w:t xml:space="preserve"> the Pros and Cons of several possible solutions to mitigate the misalignment between TSC periodicity and SPS/CG periodicity, and made the following observations and proposals:</w:t>
      </w:r>
    </w:p>
    <w:bookmarkEnd w:id="0"/>
    <w:bookmarkEnd w:id="7"/>
    <w:bookmarkEnd w:id="8"/>
    <w:p w14:paraId="4D8F152E" w14:textId="77777777" w:rsidR="00DA7E97" w:rsidRDefault="00942688">
      <w:pPr>
        <w:rPr>
          <w:b/>
          <w:lang w:eastAsia="zh-CN"/>
        </w:rPr>
      </w:pPr>
      <w:r>
        <w:rPr>
          <w:b/>
          <w:lang w:eastAsia="zh-CN"/>
        </w:rPr>
        <w:t>Observation 1: Overprovisioning of SPS/CG resources will result in resource inefficiency.</w:t>
      </w:r>
    </w:p>
    <w:p w14:paraId="052C6972" w14:textId="6ACC6866" w:rsidR="00DA7E97" w:rsidRDefault="00942688">
      <w:pPr>
        <w:rPr>
          <w:b/>
          <w:lang w:eastAsia="zh-CN"/>
        </w:rPr>
      </w:pPr>
      <w:r>
        <w:rPr>
          <w:b/>
          <w:lang w:eastAsia="zh-CN"/>
        </w:rPr>
        <w:t xml:space="preserve">Observation 2: </w:t>
      </w:r>
      <w:r w:rsidR="004D40CE" w:rsidRPr="004D40CE">
        <w:rPr>
          <w:b/>
          <w:lang w:eastAsia="zh-CN"/>
        </w:rPr>
        <w:t>Relying on multiple SPS/CG configurations is not optimal for supporting multiple TSC services</w:t>
      </w:r>
      <w:r>
        <w:rPr>
          <w:b/>
          <w:lang w:eastAsia="zh-CN"/>
        </w:rPr>
        <w:t>.</w:t>
      </w:r>
    </w:p>
    <w:p w14:paraId="13D5E4D4" w14:textId="77777777" w:rsidR="00DA7E97" w:rsidRDefault="00942688">
      <w:pPr>
        <w:rPr>
          <w:b/>
          <w:lang w:eastAsia="zh-CN"/>
        </w:rPr>
      </w:pPr>
      <w:r>
        <w:rPr>
          <w:b/>
          <w:lang w:eastAsia="zh-CN"/>
        </w:rPr>
        <w:t>Observation 3: Bitmap based resource allocation can achieve the same effect with multiple configurations approach.</w:t>
      </w:r>
    </w:p>
    <w:p w14:paraId="0FB84527" w14:textId="77777777" w:rsidR="00DA7E97" w:rsidRDefault="00942688">
      <w:pPr>
        <w:spacing w:after="120"/>
        <w:jc w:val="both"/>
        <w:rPr>
          <w:b/>
          <w:lang w:eastAsia="zh-CN"/>
        </w:rPr>
      </w:pPr>
      <w:r>
        <w:rPr>
          <w:b/>
          <w:lang w:eastAsia="zh-CN"/>
        </w:rPr>
        <w:t>Proposal 1: In order to avoid resource inefficiency and to support multiple TSC services, the following two solution can also be considered to mitigate the misalignment issue:</w:t>
      </w:r>
    </w:p>
    <w:p w14:paraId="2B419C1F" w14:textId="77777777" w:rsidR="00DA7E97" w:rsidRDefault="00942688">
      <w:pPr>
        <w:spacing w:after="120"/>
        <w:jc w:val="both"/>
        <w:rPr>
          <w:b/>
          <w:lang w:eastAsia="zh-CN"/>
        </w:rPr>
      </w:pPr>
      <w:r>
        <w:rPr>
          <w:b/>
          <w:lang w:eastAsia="zh-CN"/>
        </w:rPr>
        <w:tab/>
        <w:t>Alt-1: Bitmap based resource configuration is provided by the network.</w:t>
      </w:r>
    </w:p>
    <w:p w14:paraId="0F0F1886" w14:textId="77777777" w:rsidR="00DA7E97" w:rsidRDefault="00942688">
      <w:pPr>
        <w:spacing w:after="120"/>
        <w:jc w:val="both"/>
      </w:pPr>
      <w:r>
        <w:rPr>
          <w:b/>
          <w:lang w:eastAsia="zh-CN"/>
        </w:rPr>
        <w:tab/>
        <w:t xml:space="preserve">Alt-2: UE derives the positions of pre-configured resources based on TSC traffic pattern and resource </w:t>
      </w:r>
      <w:r>
        <w:rPr>
          <w:b/>
          <w:lang w:eastAsia="zh-CN"/>
        </w:rPr>
        <w:tab/>
      </w:r>
      <w:r>
        <w:rPr>
          <w:b/>
          <w:lang w:eastAsia="zh-CN"/>
        </w:rPr>
        <w:tab/>
      </w:r>
      <w:r>
        <w:rPr>
          <w:b/>
          <w:lang w:eastAsia="zh-CN"/>
        </w:rPr>
        <w:tab/>
      </w:r>
      <w:r>
        <w:rPr>
          <w:b/>
          <w:lang w:eastAsia="zh-CN"/>
        </w:rPr>
        <w:tab/>
      </w:r>
      <w:r>
        <w:rPr>
          <w:b/>
          <w:lang w:eastAsia="zh-CN"/>
        </w:rPr>
        <w:tab/>
        <w:t>restrictions.</w:t>
      </w:r>
    </w:p>
    <w:p w14:paraId="512C7630" w14:textId="77777777" w:rsidR="00DA7E97" w:rsidRDefault="00942688">
      <w:pPr>
        <w:pStyle w:val="Heading1"/>
      </w:pPr>
      <w:r>
        <w:t>Reference</w:t>
      </w:r>
    </w:p>
    <w:p w14:paraId="31BF0168" w14:textId="16C2FFE1" w:rsidR="00DA7E97" w:rsidRDefault="00942688">
      <w:pPr>
        <w:numPr>
          <w:ilvl w:val="0"/>
          <w:numId w:val="6"/>
        </w:numPr>
        <w:jc w:val="both"/>
      </w:pPr>
      <w:r>
        <w:t xml:space="preserve"> </w:t>
      </w:r>
      <w:r w:rsidR="00927344">
        <w:t>RP-190728, “New WID: Support of NR Industrial Internet of Things (IoT)”, Nokia, Nokia Shanghai Bell</w:t>
      </w:r>
      <w:r w:rsidR="00927344" w:rsidRPr="001E089C">
        <w:t>.</w:t>
      </w:r>
    </w:p>
    <w:p w14:paraId="07A5B0D3" w14:textId="77777777" w:rsidR="00DA7E97" w:rsidRDefault="00942688">
      <w:pPr>
        <w:numPr>
          <w:ilvl w:val="0"/>
          <w:numId w:val="6"/>
        </w:numPr>
        <w:jc w:val="both"/>
      </w:pPr>
      <w:r>
        <w:lastRenderedPageBreak/>
        <w:t xml:space="preserve"> R2-1905xxx, Report of 3GPP TSG RAN WG2 meeting #105bis, Xi'an, China, 8 - 12 April, 2019.</w:t>
      </w:r>
    </w:p>
    <w:p w14:paraId="7A7D5169" w14:textId="77777777" w:rsidR="00DA7E97" w:rsidRDefault="00942688">
      <w:pPr>
        <w:numPr>
          <w:ilvl w:val="0"/>
          <w:numId w:val="6"/>
        </w:numPr>
        <w:jc w:val="both"/>
      </w:pPr>
      <w:r>
        <w:t xml:space="preserve"> 3GPP TR 38.825 V1.0.0, Study on NR Industrial Internet of Things (IoT) (Release 16).</w:t>
      </w:r>
    </w:p>
    <w:p w14:paraId="34A92347" w14:textId="77777777" w:rsidR="00DA7E97" w:rsidRDefault="00942688">
      <w:pPr>
        <w:numPr>
          <w:ilvl w:val="0"/>
          <w:numId w:val="6"/>
        </w:numPr>
        <w:jc w:val="both"/>
      </w:pPr>
      <w:r>
        <w:t xml:space="preserve"> </w:t>
      </w:r>
      <w:bookmarkStart w:id="10" w:name="OLE_LINK21"/>
      <w:r>
        <w:t>R2-1817270</w:t>
      </w:r>
      <w:bookmarkEnd w:id="10"/>
      <w:r>
        <w:t>, NR support for TSN traffic patterns, Nokia, RAN2 #104.</w:t>
      </w:r>
    </w:p>
    <w:sectPr w:rsidR="00DA7E97">
      <w:headerReference w:type="default" r:id="rId15"/>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Tao Cai" w:date="2019-04-27T21:33:00Z" w:initials="Tao Cai">
    <w:p w14:paraId="48691B3D" w14:textId="77777777" w:rsidR="00DA7E97" w:rsidRDefault="00942688">
      <w:pPr>
        <w:pStyle w:val="CommentText"/>
      </w:pPr>
      <w:r>
        <w:rPr>
          <w:rStyle w:val="CommentReference"/>
        </w:rPr>
        <w:annotationRef/>
      </w:r>
      <w:r>
        <w:t xml:space="preserve">I don’t think it is realistic to use 2 symbol periodicity for multiple CG configurations. Better not to mention it. I assume when the periodicity of CGs is decreased (as they all have the same periodicity), the offset will be decreased, hence the delay will be decreased. As in the figure, the latency between SF0 and SF1 is the time offset between CG1 and CG2. Please check on this. </w:t>
      </w:r>
    </w:p>
  </w:comment>
  <w:comment w:id="5" w:author="fanqiang" w:date="2019-04-29T15:41:00Z" w:initials="f(">
    <w:p w14:paraId="2F60A636" w14:textId="77777777" w:rsidR="003B5FD9" w:rsidRDefault="003B5FD9">
      <w:pPr>
        <w:pStyle w:val="CommentText"/>
        <w:rPr>
          <w:lang w:eastAsia="zh-CN"/>
        </w:rPr>
      </w:pPr>
      <w:r>
        <w:rPr>
          <w:rStyle w:val="CommentReference"/>
        </w:rPr>
        <w:annotationRef/>
      </w:r>
      <w:r>
        <w:rPr>
          <w:rFonts w:hint="eastAsia"/>
          <w:lang w:eastAsia="zh-CN"/>
        </w:rPr>
        <w:t>Yes</w:t>
      </w:r>
      <w:r>
        <w:rPr>
          <w:lang w:eastAsia="zh-CN"/>
        </w:rPr>
        <w:t xml:space="preserve">. Agree to not mention 2 symbols. </w:t>
      </w:r>
    </w:p>
    <w:p w14:paraId="5ECCC16F" w14:textId="4C02B3AE" w:rsidR="003B5FD9" w:rsidRDefault="003B5FD9">
      <w:pPr>
        <w:pStyle w:val="CommentText"/>
        <w:rPr>
          <w:lang w:eastAsia="zh-CN"/>
        </w:rPr>
      </w:pPr>
      <w:r>
        <w:rPr>
          <w:lang w:eastAsia="zh-CN"/>
        </w:rPr>
        <w:t>If the duration can be shorter, the latency can be further reduced. Current revision is fine to 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691B3D" w15:done="0"/>
  <w15:commentEx w15:paraId="5ECCC16F" w15:paraIdParent="48691B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0114E" w14:textId="77777777" w:rsidR="00597841" w:rsidRDefault="00597841">
      <w:pPr>
        <w:spacing w:after="0"/>
      </w:pPr>
      <w:r>
        <w:separator/>
      </w:r>
    </w:p>
  </w:endnote>
  <w:endnote w:type="continuationSeparator" w:id="0">
    <w:p w14:paraId="6307B3E2" w14:textId="77777777" w:rsidR="00597841" w:rsidRDefault="00597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1F165" w14:textId="77777777" w:rsidR="00597841" w:rsidRDefault="00597841">
      <w:pPr>
        <w:spacing w:after="0"/>
      </w:pPr>
      <w:r>
        <w:rPr>
          <w:color w:val="000000"/>
        </w:rPr>
        <w:separator/>
      </w:r>
    </w:p>
  </w:footnote>
  <w:footnote w:type="continuationSeparator" w:id="0">
    <w:p w14:paraId="66B708A1" w14:textId="77777777" w:rsidR="00597841" w:rsidRDefault="005978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C65F" w14:textId="77777777" w:rsidR="0024705C" w:rsidRDefault="0094268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0174"/>
    <w:multiLevelType w:val="multilevel"/>
    <w:tmpl w:val="BDC48946"/>
    <w:styleLink w:val="LFO28"/>
    <w:lvl w:ilvl="0">
      <w:start w:val="1"/>
      <w:numFmt w:val="decimal"/>
      <w:pStyle w:val="References"/>
      <w:lvlText w:val="[%1]"/>
      <w:lvlJc w:val="left"/>
      <w:pPr>
        <w:ind w:left="643" w:hanging="360"/>
      </w:pPr>
      <w:rPr>
        <w:i w:val="0"/>
        <w:color w:val="auto"/>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43DB6CE9"/>
    <w:multiLevelType w:val="multilevel"/>
    <w:tmpl w:val="FDD2F9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5590308"/>
    <w:multiLevelType w:val="multilevel"/>
    <w:tmpl w:val="D9726AC2"/>
    <w:styleLink w:val="2"/>
    <w:lvl w:ilvl="0">
      <w:start w:val="1"/>
      <w:numFmt w:val="decimal"/>
      <w:lvlText w:val="%1)"/>
      <w:lvlJc w:val="left"/>
      <w:pPr>
        <w:ind w:left="1124" w:hanging="420"/>
      </w:pPr>
      <w:rPr>
        <w:rFonts w:eastAsia="SimSu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75A6CE4"/>
    <w:multiLevelType w:val="multilevel"/>
    <w:tmpl w:val="8AE8733E"/>
    <w:styleLink w:val="WWOutlineListStyle"/>
    <w:lvl w:ilvl="0">
      <w:start w:val="1"/>
      <w:numFmt w:val="decimal"/>
      <w:pStyle w:val="Heading1"/>
      <w:lvlText w:val="%1."/>
      <w:lvlJc w:val="left"/>
      <w:pPr>
        <w:ind w:left="567" w:hanging="567"/>
      </w:pPr>
      <w:rPr>
        <w:u w:val="none"/>
        <w:lang w:val="en-US"/>
      </w:rPr>
    </w:lvl>
    <w:lvl w:ilvl="1">
      <w:start w:val="1"/>
      <w:numFmt w:val="decimal"/>
      <w:pStyle w:val="Heading2"/>
      <w:lvlText w:val="%2."/>
      <w:lvlJc w:val="left"/>
      <w:pPr>
        <w:ind w:left="567" w:hanging="567"/>
      </w:pPr>
      <w:rPr>
        <w:u w:val="none"/>
        <w:lang w:val="en-US"/>
      </w:rPr>
    </w:lvl>
    <w:lvl w:ilvl="2">
      <w:start w:val="1"/>
      <w:numFmt w:val="decimal"/>
      <w:pStyle w:val="Heading3"/>
      <w:lvlText w:val="%3."/>
      <w:lvlJc w:val="left"/>
      <w:pPr>
        <w:ind w:left="567" w:hanging="567"/>
      </w:pPr>
      <w:rPr>
        <w:u w:val="none"/>
        <w:lang w:val="en-US"/>
      </w:rPr>
    </w:lvl>
    <w:lvl w:ilvl="3">
      <w:start w:val="1"/>
      <w:numFmt w:val="decimal"/>
      <w:pStyle w:val="Heading4"/>
      <w:lvlText w:val="%4."/>
      <w:lvlJc w:val="left"/>
      <w:pPr>
        <w:ind w:left="567" w:hanging="567"/>
      </w:pPr>
      <w:rPr>
        <w:u w:val="none"/>
        <w:lang w:val="en-US"/>
      </w:rPr>
    </w:lvl>
    <w:lvl w:ilvl="4">
      <w:start w:val="1"/>
      <w:numFmt w:val="decimal"/>
      <w:pStyle w:val="Heading5"/>
      <w:lvlText w:val="%5."/>
      <w:lvlJc w:val="left"/>
      <w:pPr>
        <w:ind w:left="567" w:hanging="567"/>
      </w:pPr>
      <w:rPr>
        <w:u w:val="none"/>
        <w:lang w:val="en-US"/>
      </w:rPr>
    </w:lvl>
    <w:lvl w:ilvl="5">
      <w:start w:val="1"/>
      <w:numFmt w:val="decimal"/>
      <w:pStyle w:val="Heading6"/>
      <w:lvlText w:val="%6."/>
      <w:lvlJc w:val="left"/>
      <w:pPr>
        <w:ind w:left="567" w:hanging="567"/>
      </w:pPr>
      <w:rPr>
        <w:u w:val="none"/>
        <w:lang w:val="en-US"/>
      </w:rPr>
    </w:lvl>
    <w:lvl w:ilvl="6">
      <w:start w:val="1"/>
      <w:numFmt w:val="decimal"/>
      <w:pStyle w:val="Heading7"/>
      <w:lvlText w:val="%7."/>
      <w:lvlJc w:val="left"/>
      <w:pPr>
        <w:ind w:left="567" w:hanging="567"/>
      </w:pPr>
      <w:rPr>
        <w:u w:val="none"/>
        <w:lang w:val="en-US"/>
      </w:rPr>
    </w:lvl>
    <w:lvl w:ilvl="7">
      <w:start w:val="1"/>
      <w:numFmt w:val="decimal"/>
      <w:pStyle w:val="Heading8"/>
      <w:lvlText w:val="%8."/>
      <w:lvlJc w:val="left"/>
      <w:pPr>
        <w:ind w:left="567" w:hanging="567"/>
      </w:pPr>
      <w:rPr>
        <w:u w:val="none"/>
        <w:lang w:val="en-US"/>
      </w:rPr>
    </w:lvl>
    <w:lvl w:ilvl="8">
      <w:start w:val="1"/>
      <w:numFmt w:val="decimal"/>
      <w:pStyle w:val="Heading9"/>
      <w:lvlText w:val="%9."/>
      <w:lvlJc w:val="left"/>
      <w:pPr>
        <w:ind w:left="567" w:hanging="567"/>
      </w:pPr>
      <w:rPr>
        <w:u w:val="none"/>
        <w:lang w:val="en-US"/>
      </w:rPr>
    </w:lvl>
  </w:abstractNum>
  <w:abstractNum w:abstractNumId="4" w15:restartNumberingAfterBreak="0">
    <w:nsid w:val="5E0E1326"/>
    <w:multiLevelType w:val="multilevel"/>
    <w:tmpl w:val="9C84DBC8"/>
    <w:styleLink w:val="LFO36"/>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9F62C4A"/>
    <w:multiLevelType w:val="multilevel"/>
    <w:tmpl w:val="ADB8DBA0"/>
    <w:styleLink w:val="LFO6"/>
    <w:lvl w:ilvl="0">
      <w:start w:val="1"/>
      <w:numFmt w:val="decimal"/>
      <w:pStyle w:val="H6"/>
      <w:lvlText w:val="%1."/>
      <w:lvlJc w:val="left"/>
      <w:pPr>
        <w:ind w:left="567" w:hanging="567"/>
      </w:pPr>
      <w:rPr>
        <w:u w:val="none"/>
        <w:lang w:val="en-US"/>
      </w:rPr>
    </w:lvl>
    <w:lvl w:ilvl="1">
      <w:start w:val="1"/>
      <w:numFmt w:val="decimal"/>
      <w:lvlText w:val="%1.%2."/>
      <w:lvlJc w:val="left"/>
      <w:pPr>
        <w:ind w:left="-806" w:hanging="567"/>
      </w:pPr>
      <w:rPr>
        <w:u w:val="none"/>
      </w:rPr>
    </w:lvl>
    <w:lvl w:ilvl="2">
      <w:start w:val="1"/>
      <w:numFmt w:val="decimal"/>
      <w:lvlText w:val="%1.%2.%3"/>
      <w:lvlJc w:val="left"/>
      <w:pPr>
        <w:ind w:left="-2949" w:hanging="1304"/>
      </w:pPr>
      <w:rPr>
        <w:u w:val="none"/>
      </w:rPr>
    </w:lvl>
    <w:lvl w:ilvl="3">
      <w:start w:val="1"/>
      <w:numFmt w:val="decimal"/>
      <w:lvlText w:val="%1.%2.%3.%4"/>
      <w:lvlJc w:val="left"/>
      <w:pPr>
        <w:ind w:left="-2949" w:hanging="1304"/>
      </w:pPr>
      <w:rPr>
        <w:u w:val="none"/>
      </w:rPr>
    </w:lvl>
    <w:lvl w:ilvl="4">
      <w:start w:val="1"/>
      <w:numFmt w:val="decimal"/>
      <w:lvlText w:val="%1.%2.%3.%4.%5"/>
      <w:lvlJc w:val="left"/>
      <w:pPr>
        <w:ind w:left="-5500" w:firstLine="0"/>
      </w:pPr>
    </w:lvl>
    <w:lvl w:ilvl="5">
      <w:start w:val="1"/>
      <w:numFmt w:val="decimal"/>
      <w:lvlText w:val="%1.%2.%3.%4.%5.%6"/>
      <w:lvlJc w:val="left"/>
      <w:pPr>
        <w:ind w:left="-5500" w:firstLine="0"/>
      </w:pPr>
    </w:lvl>
    <w:lvl w:ilvl="6">
      <w:start w:val="1"/>
      <w:numFmt w:val="decimal"/>
      <w:lvlText w:val="%1.%2.%3.%4.%5.%6.%7"/>
      <w:lvlJc w:val="left"/>
      <w:pPr>
        <w:ind w:left="-5500" w:firstLine="0"/>
      </w:pPr>
    </w:lvl>
    <w:lvl w:ilvl="7">
      <w:start w:val="1"/>
      <w:numFmt w:val="decimal"/>
      <w:lvlText w:val="%1.%2.%3.%4.%5.%6.%7.%8"/>
      <w:lvlJc w:val="left"/>
      <w:pPr>
        <w:ind w:left="-5500" w:firstLine="0"/>
      </w:pPr>
    </w:lvl>
    <w:lvl w:ilvl="8">
      <w:start w:val="1"/>
      <w:numFmt w:val="decimal"/>
      <w:lvlText w:val="%1.%2.%3.%4.%5.%6.%7.%8.%9"/>
      <w:lvlJc w:val="left"/>
      <w:pPr>
        <w:ind w:left="-5500" w:firstLine="0"/>
      </w:pPr>
    </w:lvl>
  </w:abstractNum>
  <w:num w:numId="1">
    <w:abstractNumId w:val="3"/>
  </w:num>
  <w:num w:numId="2">
    <w:abstractNumId w:val="2"/>
  </w:num>
  <w:num w:numId="3">
    <w:abstractNumId w:val="5"/>
  </w:num>
  <w:num w:numId="4">
    <w:abstractNumId w:val="0"/>
  </w:num>
  <w:num w:numId="5">
    <w:abstractNumId w:val="4"/>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o Cai">
    <w15:presenceInfo w15:providerId="None" w15:userId="Tao Cai"/>
  </w15:person>
  <w15:person w15:author="fanqiang">
    <w15:presenceInfo w15:providerId="None" w15:userId="fa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attachedTemplate r:id="rId1"/>
  <w:defaultTabStop w:val="284"/>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E97"/>
    <w:rsid w:val="003B22C7"/>
    <w:rsid w:val="003B5FD9"/>
    <w:rsid w:val="0042063F"/>
    <w:rsid w:val="004527D4"/>
    <w:rsid w:val="004D40CE"/>
    <w:rsid w:val="004F15CF"/>
    <w:rsid w:val="00597841"/>
    <w:rsid w:val="00872F23"/>
    <w:rsid w:val="00927344"/>
    <w:rsid w:val="00935D40"/>
    <w:rsid w:val="00942688"/>
    <w:rsid w:val="00A71389"/>
    <w:rsid w:val="00D379F9"/>
    <w:rsid w:val="00DA7E97"/>
    <w:rsid w:val="00E015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1507A"/>
  <w15:docId w15:val="{C45B3AC0-6AD3-4425-93EB-A5BFB5EC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180"/>
    </w:pPr>
    <w:rPr>
      <w:rFonts w:ascii="Times New Roman" w:hAnsi="Times New Roman"/>
      <w:lang w:eastAsia="en-US"/>
    </w:rPr>
  </w:style>
  <w:style w:type="paragraph" w:styleId="Heading1">
    <w:name w:val="heading 1"/>
    <w:next w:val="Normal"/>
    <w:pPr>
      <w:keepNext/>
      <w:keepLines/>
      <w:numPr>
        <w:numId w:val="1"/>
      </w:numPr>
      <w:pBdr>
        <w:top w:val="single" w:sz="12" w:space="3" w:color="000000"/>
      </w:pBdr>
      <w:suppressAutoHyphens/>
      <w:spacing w:before="240" w:after="180"/>
      <w:outlineLvl w:val="0"/>
    </w:pPr>
    <w:rPr>
      <w:rFonts w:ascii="Arial" w:hAnsi="Arial"/>
      <w:sz w:val="36"/>
      <w:lang w:eastAsia="en-US"/>
    </w:rPr>
  </w:style>
  <w:style w:type="paragraph" w:styleId="Heading2">
    <w:name w:val="heading 2"/>
    <w:basedOn w:val="Heading1"/>
    <w:next w:val="Normal"/>
    <w:pPr>
      <w:numPr>
        <w:ilvl w:val="1"/>
      </w:numPr>
      <w:pBdr>
        <w:top w:val="none" w:sz="0" w:space="0" w:color="auto"/>
      </w:pBdr>
      <w:spacing w:before="180"/>
      <w:outlineLvl w:val="1"/>
    </w:pPr>
    <w:rPr>
      <w:sz w:val="32"/>
    </w:rPr>
  </w:style>
  <w:style w:type="paragraph" w:styleId="Heading3">
    <w:name w:val="heading 3"/>
    <w:basedOn w:val="Heading2"/>
    <w:next w:val="Normal"/>
    <w:pPr>
      <w:numPr>
        <w:ilvl w:val="2"/>
      </w:numPr>
      <w:spacing w:before="120"/>
      <w:outlineLvl w:val="2"/>
    </w:pPr>
    <w:rPr>
      <w:sz w:val="28"/>
    </w:rPr>
  </w:style>
  <w:style w:type="paragraph" w:styleId="Heading4">
    <w:name w:val="heading 4"/>
    <w:basedOn w:val="Heading3"/>
    <w:next w:val="Normal"/>
    <w:pPr>
      <w:numPr>
        <w:ilvl w:val="3"/>
      </w:numPr>
      <w:tabs>
        <w:tab w:val="left" w:pos="567"/>
      </w:tabs>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Id w:val="1"/>
      </w:numPr>
      <w:outlineLvl w:val="5"/>
    </w:pPr>
  </w:style>
  <w:style w:type="paragraph" w:styleId="Heading7">
    <w:name w:val="heading 7"/>
    <w:basedOn w:val="H6"/>
    <w:next w:val="Normal"/>
    <w:pPr>
      <w:numPr>
        <w:ilvl w:val="6"/>
        <w:numId w:val="1"/>
      </w:numPr>
      <w:outlineLvl w:val="6"/>
    </w:pPr>
  </w:style>
  <w:style w:type="paragraph" w:styleId="Heading8">
    <w:name w:val="heading 8"/>
    <w:basedOn w:val="Heading1"/>
    <w:next w:val="Normal"/>
    <w:pPr>
      <w:numPr>
        <w:ilvl w:val="7"/>
      </w:numPr>
      <w:tabs>
        <w:tab w:val="left" w:pos="567"/>
      </w:tabs>
      <w:outlineLvl w:val="7"/>
    </w:pPr>
  </w:style>
  <w:style w:type="paragraph" w:styleId="Heading9">
    <w:name w:val="heading 9"/>
    <w:basedOn w:val="Heading8"/>
    <w:next w:val="Normal"/>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ind w:left="567" w:right="425" w:hanging="567"/>
    </w:pPr>
    <w:rPr>
      <w:rFonts w:ascii="Times New Roman" w:hAnsi="Times New Roman"/>
      <w:sz w:val="22"/>
      <w:lang w:eastAsia="en-US"/>
    </w:rPr>
  </w:style>
  <w:style w:type="paragraph" w:customStyle="1" w:styleId="ZT">
    <w:name w:val="ZT"/>
    <w:pPr>
      <w:widowControl w:val="0"/>
      <w:suppressAutoHyphens/>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widowControl w:val="0"/>
      <w:suppressAutoHyphens/>
    </w:pPr>
    <w:rPr>
      <w:rFonts w:ascii="Arial" w:hAnsi="Arial"/>
      <w:lang w:eastAsia="en-US"/>
    </w:rPr>
  </w:style>
  <w:style w:type="paragraph" w:customStyle="1" w:styleId="TT">
    <w:name w:val="TT"/>
    <w:basedOn w:val="Heading1"/>
    <w:next w:val="Normal"/>
    <w:pPr>
      <w:numPr>
        <w:numId w:val="0"/>
      </w:numPr>
    </w:pPr>
  </w:style>
  <w:style w:type="paragraph" w:styleId="ListNumber2">
    <w:name w:val="List Number 2"/>
    <w:basedOn w:val="ListNumber"/>
    <w:pPr>
      <w:ind w:left="851"/>
    </w:pPr>
  </w:style>
  <w:style w:type="paragraph" w:styleId="Header">
    <w:name w:val="header"/>
    <w:pPr>
      <w:widowControl w:val="0"/>
      <w:suppressAutoHyphens/>
    </w:pPr>
    <w:rPr>
      <w:rFonts w:ascii="Arial" w:hAnsi="Arial"/>
      <w:b/>
      <w:sz w:val="18"/>
      <w:lang w:eastAsia="en-US"/>
    </w:rPr>
  </w:style>
  <w:style w:type="character" w:styleId="FootnoteReference">
    <w:name w:val="footnote reference"/>
    <w:rPr>
      <w:b/>
      <w:position w:val="6"/>
      <w:sz w:val="16"/>
      <w:vertAlign w:val="baseli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numPr>
        <w:ilvl w:val="0"/>
        <w:numId w:val="3"/>
      </w:numPr>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widowControl w:val="0"/>
      <w:pBdr>
        <w:bottom w:val="single" w:sz="12" w:space="1" w:color="000000"/>
      </w:pBdr>
      <w:suppressAutoHyphens/>
      <w:jc w:val="right"/>
    </w:pPr>
    <w:rPr>
      <w:rFonts w:ascii="Arial" w:hAnsi="Arial"/>
      <w:sz w:val="40"/>
      <w:lang w:eastAsia="en-US"/>
    </w:rPr>
  </w:style>
  <w:style w:type="paragraph" w:customStyle="1" w:styleId="ZB">
    <w:name w:val="ZB"/>
    <w:pPr>
      <w:widowControl w:val="0"/>
      <w:suppressAutoHyphens/>
      <w:ind w:right="28"/>
      <w:jc w:val="right"/>
    </w:pPr>
    <w:rPr>
      <w:rFonts w:ascii="Arial" w:hAnsi="Arial"/>
      <w:i/>
      <w:lang w:eastAsia="en-US"/>
    </w:rPr>
  </w:style>
  <w:style w:type="paragraph" w:customStyle="1" w:styleId="ZD">
    <w:name w:val="ZD"/>
    <w:pPr>
      <w:widowControl w:val="0"/>
      <w:suppressAutoHyphens/>
    </w:pPr>
    <w:rPr>
      <w:rFonts w:ascii="Arial" w:hAnsi="Arial"/>
      <w:sz w:val="32"/>
      <w:lang w:eastAsia="en-US"/>
    </w:rPr>
  </w:style>
  <w:style w:type="paragraph" w:customStyle="1" w:styleId="ZU">
    <w:name w:val="ZU"/>
    <w:pPr>
      <w:widowControl w:val="0"/>
      <w:pBdr>
        <w:top w:val="single" w:sz="12" w:space="1" w:color="000000"/>
      </w:pBdr>
      <w:suppressAutoHyphens/>
      <w:jc w:val="right"/>
    </w:pPr>
    <w:rPr>
      <w:rFonts w:ascii="Arial" w:hAnsi="Arial"/>
      <w:lang w:eastAsia="en-US"/>
    </w:rPr>
  </w:style>
  <w:style w:type="paragraph" w:customStyle="1" w:styleId="ZV">
    <w:name w:val="ZV"/>
    <w:basedOn w:val="ZU"/>
  </w:style>
  <w:style w:type="character" w:customStyle="1" w:styleId="ZGSM">
    <w:name w:val="ZGSM"/>
  </w:style>
  <w:style w:type="paragraph" w:styleId="List2">
    <w:name w:val="List 2"/>
    <w:basedOn w:val="List"/>
    <w:pPr>
      <w:ind w:left="851"/>
    </w:pPr>
  </w:style>
  <w:style w:type="paragraph" w:customStyle="1" w:styleId="ZG">
    <w:name w:val="ZG"/>
    <w:pPr>
      <w:widowControl w:val="0"/>
      <w:suppressAutoHyphens/>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suppressAutoHyphens/>
      <w:spacing w:after="120"/>
    </w:pPr>
    <w:rPr>
      <w:rFonts w:ascii="Arial" w:hAnsi="Arial"/>
      <w:lang w:eastAsia="en-US"/>
    </w:rPr>
  </w:style>
  <w:style w:type="paragraph" w:customStyle="1" w:styleId="tdoc-header">
    <w:name w:val="tdoc-header"/>
    <w:pPr>
      <w:suppressAutoHyphens/>
    </w:pP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tyle>
  <w:style w:type="character" w:styleId="FollowedHyperlink">
    <w:name w:val="FollowedHyperlink"/>
    <w:rPr>
      <w:color w:val="800080"/>
      <w:u w:val="single"/>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Normal"/>
    <w:pPr>
      <w:shd w:val="clear" w:color="auto" w:fill="000080"/>
    </w:pPr>
    <w:rPr>
      <w:rFonts w:ascii="Tahoma" w:hAnsi="Tahoma" w:cs="Tahoma"/>
    </w:rPr>
  </w:style>
  <w:style w:type="character" w:customStyle="1" w:styleId="CRCoverPageZchn">
    <w:name w:val="CR Cover Page Zchn"/>
    <w:rPr>
      <w:rFonts w:ascii="Arial" w:hAnsi="Arial"/>
      <w:lang w:val="en-GB" w:eastAsia="en-US" w:bidi="ar-SA"/>
    </w:rPr>
  </w:style>
  <w:style w:type="character" w:customStyle="1" w:styleId="B1Char">
    <w:name w:val="B1 Char"/>
    <w:rPr>
      <w:rFonts w:ascii="Times New Roman" w:hAnsi="Times New Roman"/>
      <w:lang w:val="en-GB" w:eastAsia="en-US"/>
    </w:rPr>
  </w:style>
  <w:style w:type="character" w:customStyle="1" w:styleId="B4Char">
    <w:name w:val="B4 Char"/>
    <w:rPr>
      <w:rFonts w:ascii="Times New Roman" w:hAnsi="Times New Roman"/>
      <w:lang w:val="en-GB" w:eastAsia="en-US"/>
    </w:rPr>
  </w:style>
  <w:style w:type="character" w:customStyle="1" w:styleId="B2Char">
    <w:name w:val="B2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CommentTextChar">
    <w:name w:val="Comment Text Char"/>
    <w:rPr>
      <w:rFonts w:ascii="Times New Roman" w:hAnsi="Times New Roman"/>
      <w:lang w:val="en-GB" w:eastAsia="en-US"/>
    </w:rPr>
  </w:style>
  <w:style w:type="paragraph" w:styleId="ListParagraph">
    <w:name w:val="List Paragraph"/>
    <w:basedOn w:val="Normal"/>
    <w:pPr>
      <w:spacing w:after="0"/>
      <w:ind w:left="720"/>
      <w:jc w:val="both"/>
    </w:pPr>
    <w:rPr>
      <w:rFonts w:ascii="DengXian" w:hAnsi="DengXian" w:cs="SimSun"/>
      <w:sz w:val="21"/>
      <w:szCs w:val="21"/>
      <w:lang w:val="en-US" w:eastAsia="zh-CN"/>
    </w:rPr>
  </w:style>
  <w:style w:type="paragraph" w:customStyle="1" w:styleId="Doc-text2">
    <w:name w:val="Doc-text2"/>
    <w:basedOn w:val="Normal"/>
    <w:pPr>
      <w:tabs>
        <w:tab w:val="left" w:pos="1622"/>
      </w:tabs>
      <w:spacing w:after="0"/>
      <w:ind w:left="1622" w:hanging="363"/>
    </w:pPr>
    <w:rPr>
      <w:rFonts w:ascii="Arial" w:eastAsia="MS Mincho" w:hAnsi="Arial"/>
      <w:szCs w:val="24"/>
      <w:lang w:eastAsia="en-GB"/>
    </w:rPr>
  </w:style>
  <w:style w:type="character" w:customStyle="1" w:styleId="Doc-text2Char">
    <w:name w:val="Doc-text2 Char"/>
    <w:rPr>
      <w:rFonts w:ascii="Arial" w:eastAsia="MS Mincho" w:hAnsi="Arial"/>
      <w:szCs w:val="24"/>
      <w:lang w:val="en-GB" w:eastAsia="en-GB"/>
    </w:rPr>
  </w:style>
  <w:style w:type="paragraph" w:styleId="BodyText">
    <w:name w:val="Body Text"/>
    <w:basedOn w:val="Normal"/>
    <w:pPr>
      <w:spacing w:after="120"/>
      <w:jc w:val="both"/>
    </w:pPr>
    <w:rPr>
      <w:szCs w:val="24"/>
    </w:rPr>
  </w:style>
  <w:style w:type="character" w:customStyle="1" w:styleId="BodyTextChar">
    <w:name w:val="Body Text Char"/>
    <w:rPr>
      <w:rFonts w:ascii="Times New Roman" w:hAnsi="Times New Roman"/>
      <w:szCs w:val="24"/>
      <w:lang w:eastAsia="en-US"/>
    </w:rPr>
  </w:style>
  <w:style w:type="character" w:customStyle="1" w:styleId="PLChar">
    <w:name w:val="PL Char"/>
    <w:rPr>
      <w:rFonts w:ascii="Courier New" w:hAnsi="Courier New"/>
      <w:sz w:val="16"/>
      <w:lang w:val="en-GB" w:eastAsia="en-US" w:bidi="ar-SA"/>
    </w:rPr>
  </w:style>
  <w:style w:type="character" w:customStyle="1" w:styleId="THChar">
    <w:name w:val="TH Char"/>
    <w:rPr>
      <w:rFonts w:ascii="Arial" w:hAnsi="Arial"/>
      <w:b/>
      <w:lang w:val="en-GB" w:eastAsia="en-US"/>
    </w:rPr>
  </w:style>
  <w:style w:type="character" w:customStyle="1" w:styleId="B1Char1">
    <w:name w:val="B1 Char1"/>
    <w:rPr>
      <w:rFonts w:ascii="Times New Roman" w:eastAsia="Times New Roman" w:hAnsi="Times New Roman"/>
    </w:rPr>
  </w:style>
  <w:style w:type="paragraph" w:styleId="Title">
    <w:name w:val="Title"/>
    <w:basedOn w:val="Normal"/>
    <w:next w:val="Normal"/>
    <w:pPr>
      <w:spacing w:before="240" w:after="60"/>
      <w:jc w:val="center"/>
      <w:outlineLvl w:val="0"/>
    </w:pPr>
    <w:rPr>
      <w:rFonts w:ascii="Calibri Light" w:hAnsi="Calibri Light"/>
      <w:b/>
      <w:bCs/>
      <w:kern w:val="3"/>
      <w:sz w:val="32"/>
      <w:szCs w:val="32"/>
    </w:rPr>
  </w:style>
  <w:style w:type="character" w:customStyle="1" w:styleId="TitleChar">
    <w:name w:val="Title Char"/>
    <w:rPr>
      <w:rFonts w:ascii="Calibri Light" w:eastAsia="SimSun" w:hAnsi="Calibri Light" w:cs="Times New Roman"/>
      <w:b/>
      <w:bCs/>
      <w:kern w:val="3"/>
      <w:sz w:val="32"/>
      <w:szCs w:val="32"/>
      <w:lang w:val="en-GB" w:eastAsia="en-US"/>
    </w:rPr>
  </w:style>
  <w:style w:type="paragraph" w:customStyle="1" w:styleId="References">
    <w:name w:val="References"/>
    <w:basedOn w:val="Normal"/>
    <w:pPr>
      <w:numPr>
        <w:numId w:val="4"/>
      </w:numPr>
      <w:autoSpaceDE w:val="0"/>
      <w:snapToGrid w:val="0"/>
      <w:spacing w:after="60"/>
      <w:jc w:val="both"/>
    </w:pPr>
    <w:rPr>
      <w:szCs w:val="16"/>
      <w:lang w:val="en-US"/>
    </w:rPr>
  </w:style>
  <w:style w:type="paragraph" w:customStyle="1" w:styleId="Agreement">
    <w:name w:val="Agreement"/>
    <w:basedOn w:val="Normal"/>
    <w:next w:val="Doc-text2"/>
    <w:pPr>
      <w:numPr>
        <w:numId w:val="5"/>
      </w:numPr>
      <w:spacing w:before="60" w:after="0"/>
    </w:pPr>
    <w:rPr>
      <w:rFonts w:ascii="Arial" w:eastAsia="MS Mincho" w:hAnsi="Arial"/>
      <w:b/>
      <w:szCs w:val="24"/>
      <w:lang w:eastAsia="en-GB"/>
    </w:rPr>
  </w:style>
  <w:style w:type="numbering" w:customStyle="1" w:styleId="2">
    <w:name w:val="列表编号2"/>
    <w:basedOn w:val="NoList"/>
    <w:pPr>
      <w:numPr>
        <w:numId w:val="2"/>
      </w:numPr>
    </w:pPr>
  </w:style>
  <w:style w:type="numbering" w:customStyle="1" w:styleId="LFO6">
    <w:name w:val="LFO6"/>
    <w:basedOn w:val="NoList"/>
    <w:pPr>
      <w:numPr>
        <w:numId w:val="3"/>
      </w:numPr>
    </w:pPr>
  </w:style>
  <w:style w:type="numbering" w:customStyle="1" w:styleId="LFO28">
    <w:name w:val="LFO28"/>
    <w:basedOn w:val="NoList"/>
    <w:pPr>
      <w:numPr>
        <w:numId w:val="4"/>
      </w:numPr>
    </w:pPr>
  </w:style>
  <w:style w:type="numbering" w:customStyle="1" w:styleId="LFO36">
    <w:name w:val="LFO36"/>
    <w:basedOn w:val="NoLis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00421848\Documents\3gpp_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lastModifiedBy>Tao Cai</cp:lastModifiedBy>
  <cp:revision>2</cp:revision>
  <cp:lastPrinted>1899-12-31T22:00:00Z</cp:lastPrinted>
  <dcterms:created xsi:type="dcterms:W3CDTF">2019-05-02T19:31:00Z</dcterms:created>
  <dcterms:modified xsi:type="dcterms:W3CDTF">2019-05-02T19:31:00Z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(3)RgbO3MvoHcUPSLnGZ+ztQO45fw7MPWgFYxQUrYkguQ6GSJiaQNtWIk7GyI37+w7HcEGHvG+s_x000d_
oZZkzKDeA4wsgErVj+LGXgiF+T1CaUYtcrWJJF8Y+AxSjkMx5NGDhVysyebgSytzRrcCQRyF_x000d_
6moDCwb50V7rYtsW8zilGrw4sdXl6ggrFMVT7saEzWzEa5agmGh39fXFSM4EI+szA6+344pu_x000d_
qLRssZCng8aHHdAMP3</vt:lpwstr>
  </property>
  <property fmtid="{D5CDD505-2E9C-101B-9397-08002B2CF9AE}" pid="4" name="_2015_ms_pID_7253431">
    <vt:lpwstr>A6GclR451E9Ndn4rgceU/bZ9bZ/vMenLORnlfx+Q5xtwlu3N37TB4H_x000d_
STIh5mDB9MzISG6xm8J3xhGg5G/JwTNKX8btxb4uAbbZE4oLIw7xVsUw1uvgJih0xroGqVzZ_x000d_
AeghLFc0HV//LU4BZxtrzsP1WJOovu4V2p5gHo6R+f5gKv9/NoMZACop7Yb6s6/eUgfsumY/_x000d_
1g0F+nTRJV+K0GJftn11c07dYLeqPG/jgSCd</vt:lpwstr>
  </property>
  <property fmtid="{D5CDD505-2E9C-101B-9397-08002B2CF9AE}" pid="5" name="_2015_ms_pID_7253432">
    <vt:lpwstr>TqJBoP4CIqIRxQzmCyL5wto=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1546913212</vt:lpwstr>
  </property>
</Properties>
</file>